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19" w:rsidRDefault="000B4E2D" w:rsidP="000B4E2D">
      <w:pPr>
        <w:spacing w:after="0"/>
      </w:pPr>
      <w:r>
        <w:t>A</w:t>
      </w:r>
      <w:r w:rsidR="00F90461">
        <w:t xml:space="preserve">pproved </w:t>
      </w:r>
      <w:r>
        <w:t>electronically</w:t>
      </w:r>
      <w:r w:rsidR="003D1719">
        <w:tab/>
      </w:r>
      <w:r w:rsidR="003D1719">
        <w:tab/>
      </w:r>
      <w:r w:rsidR="003D1719">
        <w:tab/>
      </w:r>
      <w:r w:rsidR="003D1719">
        <w:tab/>
      </w:r>
      <w:r w:rsidR="003D1719">
        <w:tab/>
      </w:r>
      <w:r w:rsidR="003D1719">
        <w:tab/>
      </w:r>
      <w:r w:rsidR="003D1719">
        <w:tab/>
      </w:r>
      <w:r w:rsidR="003D1719">
        <w:tab/>
      </w:r>
      <w:r w:rsidR="003D1719">
        <w:tab/>
      </w:r>
      <w:r w:rsidR="0098392D">
        <w:t>#24</w:t>
      </w:r>
    </w:p>
    <w:p w:rsidR="004B291C" w:rsidRDefault="000B4E2D" w:rsidP="004B291C">
      <w:r>
        <w:t>7-0-1</w:t>
      </w:r>
      <w:bookmarkStart w:id="0" w:name="_GoBack"/>
      <w:bookmarkEnd w:id="0"/>
    </w:p>
    <w:p w:rsidR="003D1719" w:rsidRDefault="003D1719" w:rsidP="001625FE">
      <w:pPr>
        <w:jc w:val="center"/>
      </w:pPr>
    </w:p>
    <w:p w:rsidR="00A31105" w:rsidRDefault="001625FE" w:rsidP="001625FE">
      <w:pPr>
        <w:jc w:val="center"/>
      </w:pPr>
      <w:r>
        <w:t>INDIANA STATE UNIVERSITY</w:t>
      </w:r>
    </w:p>
    <w:p w:rsidR="001625FE" w:rsidRDefault="001625FE" w:rsidP="001625FE">
      <w:pPr>
        <w:jc w:val="center"/>
      </w:pPr>
      <w:r>
        <w:t>FACULTY SENATE, 2012-2013</w:t>
      </w:r>
    </w:p>
    <w:p w:rsidR="001625FE" w:rsidRPr="001625FE" w:rsidRDefault="001625FE" w:rsidP="001625FE">
      <w:pPr>
        <w:jc w:val="center"/>
        <w:rPr>
          <w:b/>
        </w:rPr>
      </w:pPr>
      <w:r w:rsidRPr="001625FE">
        <w:rPr>
          <w:b/>
        </w:rPr>
        <w:t>EXECUTIVE COMMITTEE</w:t>
      </w:r>
    </w:p>
    <w:p w:rsidR="001625FE" w:rsidRDefault="00D83E84" w:rsidP="001625FE">
      <w:pPr>
        <w:jc w:val="center"/>
      </w:pPr>
      <w:r>
        <w:t xml:space="preserve">April </w:t>
      </w:r>
      <w:r w:rsidR="00965AF7">
        <w:t>25</w:t>
      </w:r>
      <w:r w:rsidR="001625FE">
        <w:t>, 2013</w:t>
      </w:r>
    </w:p>
    <w:p w:rsidR="001625FE" w:rsidRDefault="00965AF7" w:rsidP="001625FE">
      <w:pPr>
        <w:jc w:val="center"/>
      </w:pPr>
      <w:r>
        <w:t>3:30pm, HMSU 421</w:t>
      </w:r>
    </w:p>
    <w:p w:rsidR="004B291C" w:rsidRPr="00211A9A" w:rsidRDefault="004B291C" w:rsidP="004B291C">
      <w:pPr>
        <w:pStyle w:val="NoSpacing"/>
        <w:ind w:left="1440" w:hanging="1440"/>
        <w:rPr>
          <w:rFonts w:cstheme="minorHAnsi"/>
        </w:rPr>
      </w:pPr>
      <w:r w:rsidRPr="00211A9A">
        <w:rPr>
          <w:rFonts w:cstheme="minorHAnsi"/>
        </w:rPr>
        <w:t>Present:</w:t>
      </w:r>
      <w:r w:rsidRPr="00211A9A">
        <w:rPr>
          <w:rFonts w:cstheme="minorHAnsi"/>
        </w:rPr>
        <w:tab/>
      </w:r>
      <w:r>
        <w:rPr>
          <w:rFonts w:cstheme="minorHAnsi"/>
        </w:rPr>
        <w:t xml:space="preserve">V. Sheets, </w:t>
      </w:r>
      <w:r w:rsidRPr="00211A9A">
        <w:rPr>
          <w:rFonts w:cstheme="minorHAnsi"/>
        </w:rPr>
        <w:t>A. A</w:t>
      </w:r>
      <w:r>
        <w:rPr>
          <w:rFonts w:cstheme="minorHAnsi"/>
        </w:rPr>
        <w:t xml:space="preserve">nderson, </w:t>
      </w:r>
      <w:r w:rsidR="00965AF7">
        <w:rPr>
          <w:rFonts w:cstheme="minorHAnsi"/>
        </w:rPr>
        <w:t xml:space="preserve">K. Bolinger, </w:t>
      </w:r>
      <w:r>
        <w:rPr>
          <w:rFonts w:cstheme="minorHAnsi"/>
        </w:rPr>
        <w:t>J. Conant, T. Hawkins</w:t>
      </w:r>
      <w:r w:rsidR="003F5245">
        <w:rPr>
          <w:rFonts w:cstheme="minorHAnsi"/>
        </w:rPr>
        <w:t>,</w:t>
      </w:r>
      <w:r>
        <w:rPr>
          <w:rFonts w:cstheme="minorHAnsi"/>
        </w:rPr>
        <w:t xml:space="preserve"> </w:t>
      </w:r>
      <w:r w:rsidR="00965AF7">
        <w:rPr>
          <w:rFonts w:cstheme="minorHAnsi"/>
        </w:rPr>
        <w:t>C. Olsen</w:t>
      </w:r>
    </w:p>
    <w:p w:rsidR="004B291C" w:rsidRPr="00211A9A" w:rsidRDefault="004B291C" w:rsidP="004B291C">
      <w:pPr>
        <w:pStyle w:val="NoSpacing"/>
        <w:ind w:left="1440" w:hanging="1440"/>
        <w:rPr>
          <w:rFonts w:cstheme="minorHAnsi"/>
        </w:rPr>
      </w:pPr>
      <w:r w:rsidRPr="00211A9A">
        <w:rPr>
          <w:rFonts w:cstheme="minorHAnsi"/>
        </w:rPr>
        <w:t>Absent:</w:t>
      </w:r>
      <w:r w:rsidRPr="00211A9A">
        <w:rPr>
          <w:rFonts w:cstheme="minorHAnsi"/>
        </w:rPr>
        <w:tab/>
      </w:r>
      <w:r w:rsidR="00965AF7">
        <w:rPr>
          <w:rFonts w:cstheme="minorHAnsi"/>
        </w:rPr>
        <w:t>B. Kilp, E. Lorenzen, T. Sawyer</w:t>
      </w:r>
    </w:p>
    <w:p w:rsidR="004B291C" w:rsidRPr="00211A9A" w:rsidRDefault="004B291C" w:rsidP="004B291C">
      <w:pPr>
        <w:pStyle w:val="NoSpacing"/>
        <w:ind w:left="1440" w:hanging="1440"/>
        <w:rPr>
          <w:rFonts w:cstheme="minorHAnsi"/>
        </w:rPr>
      </w:pPr>
      <w:r>
        <w:rPr>
          <w:rFonts w:cstheme="minorHAnsi"/>
        </w:rPr>
        <w:t>Ex Officio:</w:t>
      </w:r>
      <w:r>
        <w:rPr>
          <w:rFonts w:cstheme="minorHAnsi"/>
        </w:rPr>
        <w:tab/>
        <w:t>President Bradley</w:t>
      </w:r>
      <w:r w:rsidR="00654063">
        <w:rPr>
          <w:rFonts w:cstheme="minorHAnsi"/>
        </w:rPr>
        <w:t xml:space="preserve">, </w:t>
      </w:r>
      <w:r w:rsidR="00965AF7">
        <w:rPr>
          <w:rFonts w:cstheme="minorHAnsi"/>
        </w:rPr>
        <w:t>Provost Maynard</w:t>
      </w:r>
      <w:r w:rsidR="00654063">
        <w:rPr>
          <w:rFonts w:cstheme="minorHAnsi"/>
        </w:rPr>
        <w:t xml:space="preserve"> </w:t>
      </w:r>
    </w:p>
    <w:p w:rsidR="00965AF7" w:rsidRDefault="00F90461" w:rsidP="00965AF7">
      <w:pPr>
        <w:ind w:left="1440" w:hanging="1440"/>
        <w:rPr>
          <w:rFonts w:cstheme="minorHAnsi"/>
        </w:rPr>
      </w:pPr>
      <w:r>
        <w:rPr>
          <w:rFonts w:cstheme="minorHAnsi"/>
        </w:rPr>
        <w:t>Guests:</w:t>
      </w:r>
      <w:r>
        <w:rPr>
          <w:rFonts w:cstheme="minorHAnsi"/>
        </w:rPr>
        <w:tab/>
      </w:r>
      <w:r w:rsidR="00654063">
        <w:rPr>
          <w:rFonts w:cstheme="minorHAnsi"/>
        </w:rPr>
        <w:t>E. Bermudez</w:t>
      </w:r>
      <w:r w:rsidR="00965AF7">
        <w:rPr>
          <w:rFonts w:cstheme="minorHAnsi"/>
        </w:rPr>
        <w:t xml:space="preserve">, J. Buffington, </w:t>
      </w:r>
      <w:r w:rsidR="003F706C">
        <w:rPr>
          <w:rFonts w:cstheme="minorHAnsi"/>
        </w:rPr>
        <w:t>R. Guell,</w:t>
      </w:r>
      <w:r w:rsidR="00965AF7">
        <w:rPr>
          <w:rFonts w:cstheme="minorHAnsi"/>
        </w:rPr>
        <w:t xml:space="preserve"> D. Hantzis, L. Maule, S. Powers, D. Richards</w:t>
      </w:r>
    </w:p>
    <w:p w:rsidR="00206874" w:rsidRDefault="001625FE" w:rsidP="00206874">
      <w:pPr>
        <w:ind w:left="1440" w:hanging="1440"/>
      </w:pPr>
      <w:r>
        <w:t>Administrative Reports:</w:t>
      </w:r>
    </w:p>
    <w:p w:rsidR="001625FE" w:rsidRDefault="001625FE" w:rsidP="00206874">
      <w:pPr>
        <w:pStyle w:val="ListParagraph"/>
        <w:numPr>
          <w:ilvl w:val="0"/>
          <w:numId w:val="20"/>
        </w:numPr>
      </w:pPr>
      <w:r>
        <w:t>President D. Bradley</w:t>
      </w:r>
      <w:r w:rsidR="00206874">
        <w:t>-No report.</w:t>
      </w:r>
    </w:p>
    <w:p w:rsidR="00206874" w:rsidRDefault="00206874" w:rsidP="00206874">
      <w:pPr>
        <w:pStyle w:val="ListParagraph"/>
        <w:ind w:left="1080"/>
      </w:pPr>
      <w:r>
        <w:t>Provost Maynard-No report.</w:t>
      </w:r>
    </w:p>
    <w:p w:rsidR="004B291C" w:rsidRDefault="004B291C" w:rsidP="001625FE">
      <w:pPr>
        <w:pStyle w:val="ListParagraph"/>
        <w:ind w:left="1080"/>
      </w:pPr>
    </w:p>
    <w:p w:rsidR="001625FE" w:rsidRDefault="001625FE" w:rsidP="00206874">
      <w:pPr>
        <w:pStyle w:val="ListParagraph"/>
        <w:numPr>
          <w:ilvl w:val="0"/>
          <w:numId w:val="20"/>
        </w:numPr>
      </w:pPr>
      <w:r>
        <w:t>Chair Report:</w:t>
      </w:r>
    </w:p>
    <w:p w:rsidR="001625FE" w:rsidRDefault="001625FE" w:rsidP="001625FE">
      <w:pPr>
        <w:pStyle w:val="ListParagraph"/>
        <w:ind w:left="1080"/>
      </w:pPr>
      <w:r>
        <w:t>Virgil Sheets</w:t>
      </w:r>
      <w:r w:rsidR="00206874">
        <w:t xml:space="preserve"> – No r</w:t>
      </w:r>
      <w:r w:rsidR="003F5245">
        <w:t>eport</w:t>
      </w:r>
      <w:r w:rsidR="00206874">
        <w:t>.</w:t>
      </w:r>
    </w:p>
    <w:p w:rsidR="001625FE" w:rsidRDefault="001625FE" w:rsidP="001625FE">
      <w:pPr>
        <w:pStyle w:val="ListParagraph"/>
        <w:ind w:left="1080"/>
      </w:pPr>
    </w:p>
    <w:p w:rsidR="001625FE" w:rsidRDefault="001625FE" w:rsidP="00206874">
      <w:pPr>
        <w:pStyle w:val="ListParagraph"/>
        <w:numPr>
          <w:ilvl w:val="0"/>
          <w:numId w:val="20"/>
        </w:numPr>
      </w:pPr>
      <w:r>
        <w:t xml:space="preserve">Approval of the Executive Committee Minutes </w:t>
      </w:r>
      <w:r w:rsidR="0032280E">
        <w:t xml:space="preserve">of </w:t>
      </w:r>
      <w:r w:rsidR="00514FE6">
        <w:t>April</w:t>
      </w:r>
      <w:r w:rsidR="00206874">
        <w:t xml:space="preserve"> 16</w:t>
      </w:r>
      <w:r>
        <w:t>, 2013 [file 0]</w:t>
      </w:r>
    </w:p>
    <w:p w:rsidR="004B291C" w:rsidRDefault="004B291C" w:rsidP="001625FE">
      <w:pPr>
        <w:pStyle w:val="ListParagraph"/>
        <w:ind w:left="1080"/>
      </w:pPr>
      <w:r>
        <w:rPr>
          <w:b/>
        </w:rPr>
        <w:t xml:space="preserve">MOTION TO APPROVE </w:t>
      </w:r>
      <w:r w:rsidR="00206874">
        <w:t>the minutes of April 16</w:t>
      </w:r>
      <w:r>
        <w:t>, 2013 (</w:t>
      </w:r>
      <w:r w:rsidR="00EB4A91">
        <w:t>A. Anderson/T. Hawkins</w:t>
      </w:r>
      <w:r>
        <w:t>; Vote:</w:t>
      </w:r>
      <w:r w:rsidR="00206874">
        <w:t xml:space="preserve"> 5</w:t>
      </w:r>
      <w:r w:rsidR="00EB4A91">
        <w:t>-0-</w:t>
      </w:r>
      <w:r w:rsidR="00206874">
        <w:t>1</w:t>
      </w:r>
      <w:r>
        <w:t>)</w:t>
      </w:r>
    </w:p>
    <w:p w:rsidR="004B291C" w:rsidRPr="004B291C" w:rsidRDefault="004B291C" w:rsidP="001625FE">
      <w:pPr>
        <w:pStyle w:val="ListParagraph"/>
        <w:ind w:left="1080"/>
      </w:pPr>
    </w:p>
    <w:p w:rsidR="001625FE" w:rsidRDefault="001625FE" w:rsidP="00206874">
      <w:pPr>
        <w:pStyle w:val="ListParagraph"/>
        <w:numPr>
          <w:ilvl w:val="0"/>
          <w:numId w:val="20"/>
        </w:numPr>
      </w:pPr>
      <w:r>
        <w:t>Fifteen Minute Open Discussion</w:t>
      </w:r>
    </w:p>
    <w:p w:rsidR="00DA4B65" w:rsidRDefault="00206874" w:rsidP="00206874">
      <w:pPr>
        <w:pStyle w:val="ListParagraph"/>
        <w:numPr>
          <w:ilvl w:val="0"/>
          <w:numId w:val="21"/>
        </w:numPr>
      </w:pPr>
      <w:r>
        <w:t>No items brought forth.</w:t>
      </w:r>
    </w:p>
    <w:p w:rsidR="00206874" w:rsidRDefault="00206874" w:rsidP="00206874">
      <w:pPr>
        <w:pStyle w:val="ListParagraph"/>
        <w:ind w:left="1800"/>
      </w:pPr>
    </w:p>
    <w:p w:rsidR="001625FE" w:rsidRDefault="001625FE" w:rsidP="00206874">
      <w:pPr>
        <w:pStyle w:val="ListParagraph"/>
        <w:numPr>
          <w:ilvl w:val="0"/>
          <w:numId w:val="20"/>
        </w:numPr>
      </w:pPr>
      <w:r>
        <w:t>Information</w:t>
      </w:r>
      <w:r w:rsidR="00D83E84">
        <w:t>al</w:t>
      </w:r>
      <w:r w:rsidR="00FF79AB">
        <w:t>/</w:t>
      </w:r>
      <w:r>
        <w:t xml:space="preserve"> Discussion Items</w:t>
      </w:r>
    </w:p>
    <w:p w:rsidR="00EB4A91" w:rsidRDefault="00D90F7E" w:rsidP="005C6C8D">
      <w:pPr>
        <w:pStyle w:val="ListParagraph"/>
        <w:numPr>
          <w:ilvl w:val="0"/>
          <w:numId w:val="17"/>
        </w:numPr>
      </w:pPr>
      <w:r>
        <w:t>Certificate Initiative-The Career Center has begun work on a professional certificate initiative to identify opportunities for students to earn professional credentials outside of their academic program.  The EC was asked to recommend faculty for this effort.  K. Bolinger has already been recommended from within his college.  A. Anderson and V. Sheets both expressed interest in serving on the planning committee.</w:t>
      </w:r>
      <w:r w:rsidR="003F706C">
        <w:t xml:space="preserve"> </w:t>
      </w:r>
      <w:r>
        <w:t>Their names will be forwarded for consideration.</w:t>
      </w:r>
    </w:p>
    <w:p w:rsidR="006E4054" w:rsidRDefault="006E4054" w:rsidP="00283153">
      <w:pPr>
        <w:pStyle w:val="ListParagraph"/>
        <w:ind w:left="1440"/>
      </w:pPr>
    </w:p>
    <w:p w:rsidR="00FF79AB" w:rsidRDefault="001625FE" w:rsidP="00206874">
      <w:pPr>
        <w:pStyle w:val="ListParagraph"/>
        <w:numPr>
          <w:ilvl w:val="0"/>
          <w:numId w:val="20"/>
        </w:numPr>
      </w:pPr>
      <w:r>
        <w:t>New Business</w:t>
      </w:r>
    </w:p>
    <w:p w:rsidR="009A0F7B" w:rsidRDefault="00D90F7E" w:rsidP="00206874">
      <w:pPr>
        <w:pStyle w:val="ListParagraph"/>
        <w:numPr>
          <w:ilvl w:val="1"/>
          <w:numId w:val="20"/>
        </w:numPr>
      </w:pPr>
      <w:r>
        <w:t>Academic Calendar [file 1]</w:t>
      </w:r>
      <w:r w:rsidR="006E4054">
        <w:t xml:space="preserve"> </w:t>
      </w:r>
    </w:p>
    <w:p w:rsidR="003D3C17" w:rsidRDefault="00F8354B" w:rsidP="003D3C17">
      <w:pPr>
        <w:pStyle w:val="ListParagraph"/>
        <w:numPr>
          <w:ilvl w:val="0"/>
          <w:numId w:val="17"/>
        </w:numPr>
      </w:pPr>
      <w:r>
        <w:lastRenderedPageBreak/>
        <w:t xml:space="preserve">The Provost distributed a newly revised calendar to the EC for consideration.  This schedule allows for an 11-week summer term, 3-4-4.  There would be a week between the spring term and summer term.  </w:t>
      </w:r>
      <w:r w:rsidR="003D3C17">
        <w:t>This calendar moves back to a Wednesday start to the fall term.</w:t>
      </w:r>
    </w:p>
    <w:p w:rsidR="003D3C17" w:rsidRDefault="003D3C17" w:rsidP="003D3C17">
      <w:pPr>
        <w:pStyle w:val="ListParagraph"/>
        <w:numPr>
          <w:ilvl w:val="0"/>
          <w:numId w:val="17"/>
        </w:numPr>
      </w:pPr>
      <w:r>
        <w:t xml:space="preserve">Discussion was held regarding moving to 15-week fall and spring terms.  </w:t>
      </w:r>
      <w:r w:rsidR="00712CD3">
        <w:t>To accomplish this, the study week might need to become a full-contact week.  Also, it would create more issues with partial</w:t>
      </w:r>
      <w:r w:rsidR="00F07A7F">
        <w:t>-</w:t>
      </w:r>
      <w:r w:rsidR="00712CD3">
        <w:t>term</w:t>
      </w:r>
      <w:r w:rsidR="00F07A7F">
        <w:t xml:space="preserve"> courses</w:t>
      </w:r>
      <w:r w:rsidR="00712CD3">
        <w:t>.  These issues and others need to be investigated before coming to any decision.</w:t>
      </w:r>
    </w:p>
    <w:p w:rsidR="00712CD3" w:rsidRDefault="00712CD3" w:rsidP="003D3C17">
      <w:pPr>
        <w:pStyle w:val="ListParagraph"/>
        <w:numPr>
          <w:ilvl w:val="0"/>
          <w:numId w:val="17"/>
        </w:numPr>
      </w:pPr>
      <w:r>
        <w:t>It was encouraged that faculty try to start their summer courses in accordance with the start dates of the terms.</w:t>
      </w:r>
    </w:p>
    <w:p w:rsidR="00712CD3" w:rsidRDefault="00712CD3" w:rsidP="003D3C17">
      <w:pPr>
        <w:pStyle w:val="ListParagraph"/>
        <w:numPr>
          <w:ilvl w:val="0"/>
          <w:numId w:val="17"/>
        </w:numPr>
      </w:pPr>
      <w:r>
        <w:t>AAC representative felt AAC would be positive to the newly presented calendar.</w:t>
      </w:r>
    </w:p>
    <w:p w:rsidR="00283153" w:rsidRDefault="00283153" w:rsidP="00283153">
      <w:pPr>
        <w:pStyle w:val="ListParagraph"/>
        <w:ind w:left="1440"/>
      </w:pPr>
      <w:r>
        <w:rPr>
          <w:b/>
        </w:rPr>
        <w:t>MOTION TO APPROVE</w:t>
      </w:r>
      <w:r w:rsidR="00173D87">
        <w:t xml:space="preserve"> the </w:t>
      </w:r>
      <w:r w:rsidR="00D90F7E">
        <w:t xml:space="preserve">newly proposed Academic Calendar and </w:t>
      </w:r>
      <w:r w:rsidR="007C082B">
        <w:t>formal request</w:t>
      </w:r>
      <w:r w:rsidR="00D90F7E">
        <w:t xml:space="preserve"> for exploration into moving the University to 15-week fall and spring terms</w:t>
      </w:r>
      <w:r w:rsidR="00173D87">
        <w:t xml:space="preserve"> (</w:t>
      </w:r>
      <w:r w:rsidR="00D90F7E">
        <w:t>C. Olsen/A. Anderson</w:t>
      </w:r>
      <w:r w:rsidR="00173D87">
        <w:t>; Vote:</w:t>
      </w:r>
      <w:r w:rsidR="003F5245">
        <w:t xml:space="preserve"> </w:t>
      </w:r>
      <w:r w:rsidR="00D90F7E">
        <w:t>6</w:t>
      </w:r>
      <w:r w:rsidR="003F5245">
        <w:t>-0-0</w:t>
      </w:r>
      <w:r w:rsidR="00173D87">
        <w:t>)</w:t>
      </w:r>
    </w:p>
    <w:p w:rsidR="00173D87" w:rsidRPr="00283153" w:rsidRDefault="00173D87" w:rsidP="00283153">
      <w:pPr>
        <w:pStyle w:val="ListParagraph"/>
        <w:ind w:left="1440"/>
      </w:pPr>
    </w:p>
    <w:p w:rsidR="00786C13" w:rsidRDefault="00712CD3" w:rsidP="00206874">
      <w:pPr>
        <w:pStyle w:val="ListParagraph"/>
        <w:numPr>
          <w:ilvl w:val="1"/>
          <w:numId w:val="20"/>
        </w:numPr>
      </w:pPr>
      <w:r>
        <w:t>Summer Pay Policy</w:t>
      </w:r>
      <w:r w:rsidR="003428F5">
        <w:t xml:space="preserve"> [file</w:t>
      </w:r>
      <w:r>
        <w:t xml:space="preserve"> 2</w:t>
      </w:r>
      <w:r w:rsidR="003428F5">
        <w:t>]</w:t>
      </w:r>
    </w:p>
    <w:p w:rsidR="00712CD3" w:rsidRPr="0038268A" w:rsidRDefault="0038268A" w:rsidP="0038268A">
      <w:pPr>
        <w:pStyle w:val="ListParagraph"/>
        <w:numPr>
          <w:ilvl w:val="0"/>
          <w:numId w:val="22"/>
        </w:numPr>
        <w:rPr>
          <w:b/>
        </w:rPr>
      </w:pPr>
      <w:r>
        <w:t>The revised Summer Pay Policy was presented.  It was noted that the guidelines under Graduate Courses should read (</w:t>
      </w:r>
      <w:r>
        <w:rPr>
          <w:i/>
        </w:rPr>
        <w:t xml:space="preserve">4-7 students = 2%; 8-15 students…) </w:t>
      </w:r>
      <w:r>
        <w:t xml:space="preserve">instead of </w:t>
      </w:r>
      <w:r>
        <w:rPr>
          <w:i/>
        </w:rPr>
        <w:t>(4-8 students = 2%; 9-15 students…)</w:t>
      </w:r>
      <w:r>
        <w:t>.</w:t>
      </w:r>
    </w:p>
    <w:p w:rsidR="0038268A" w:rsidRPr="0038268A" w:rsidRDefault="0038268A" w:rsidP="0038268A">
      <w:pPr>
        <w:pStyle w:val="ListParagraph"/>
        <w:numPr>
          <w:ilvl w:val="0"/>
          <w:numId w:val="22"/>
        </w:numPr>
        <w:rPr>
          <w:b/>
        </w:rPr>
      </w:pPr>
      <w:r>
        <w:rPr>
          <w:i/>
        </w:rPr>
        <w:t>As in the third bullet under 505.12.2, is the stipend for teaching arranged/independent study courses available during the fall and spring</w:t>
      </w:r>
      <w:r w:rsidR="00F07A7F">
        <w:rPr>
          <w:i/>
        </w:rPr>
        <w:t xml:space="preserve"> terms</w:t>
      </w:r>
      <w:r>
        <w:rPr>
          <w:i/>
        </w:rPr>
        <w:t>?</w:t>
      </w:r>
    </w:p>
    <w:p w:rsidR="0038268A" w:rsidRPr="00412E56" w:rsidRDefault="0038268A" w:rsidP="0038268A">
      <w:pPr>
        <w:pStyle w:val="ListParagraph"/>
        <w:numPr>
          <w:ilvl w:val="1"/>
          <w:numId w:val="22"/>
        </w:numPr>
        <w:rPr>
          <w:b/>
        </w:rPr>
      </w:pPr>
      <w:r>
        <w:t>Response-</w:t>
      </w:r>
      <w:r>
        <w:rPr>
          <w:i/>
        </w:rPr>
        <w:t>No, that is not available in the fall and spring.</w:t>
      </w:r>
    </w:p>
    <w:p w:rsidR="00412E56" w:rsidRDefault="00412E56" w:rsidP="00412E56">
      <w:pPr>
        <w:pStyle w:val="ListParagraph"/>
        <w:numPr>
          <w:ilvl w:val="0"/>
          <w:numId w:val="22"/>
        </w:numPr>
        <w:rPr>
          <w:b/>
        </w:rPr>
      </w:pPr>
      <w:r>
        <w:t xml:space="preserve">This </w:t>
      </w:r>
      <w:r w:rsidR="00F07A7F">
        <w:t xml:space="preserve">policy </w:t>
      </w:r>
      <w:r>
        <w:t>would be effective summer, 2014.</w:t>
      </w:r>
    </w:p>
    <w:p w:rsidR="00173D87" w:rsidRPr="00173D87" w:rsidRDefault="00173D87" w:rsidP="00173D87">
      <w:pPr>
        <w:pStyle w:val="ListParagraph"/>
        <w:ind w:left="1440"/>
      </w:pPr>
      <w:r>
        <w:rPr>
          <w:b/>
        </w:rPr>
        <w:t xml:space="preserve">MOTION TO APPROVE </w:t>
      </w:r>
      <w:r w:rsidR="003F5245">
        <w:t xml:space="preserve">the </w:t>
      </w:r>
      <w:r w:rsidR="0038268A">
        <w:t>Summer Pay Policy</w:t>
      </w:r>
      <w:r w:rsidR="00B81DEE">
        <w:t xml:space="preserve"> (</w:t>
      </w:r>
      <w:r w:rsidR="0038268A">
        <w:t>K. Bolinger/T. Hawkins</w:t>
      </w:r>
      <w:r w:rsidR="001E2DFD">
        <w:t xml:space="preserve">; Vote: </w:t>
      </w:r>
      <w:r w:rsidR="0038268A">
        <w:t>6</w:t>
      </w:r>
      <w:r w:rsidR="001E2DFD">
        <w:t>-0-0</w:t>
      </w:r>
      <w:r>
        <w:t>)</w:t>
      </w:r>
    </w:p>
    <w:p w:rsidR="00173D87" w:rsidRDefault="00173D87" w:rsidP="00173D87">
      <w:pPr>
        <w:pStyle w:val="ListParagraph"/>
        <w:ind w:left="1440"/>
      </w:pPr>
    </w:p>
    <w:p w:rsidR="00786C13" w:rsidRDefault="00412E56" w:rsidP="00206874">
      <w:pPr>
        <w:pStyle w:val="ListParagraph"/>
        <w:numPr>
          <w:ilvl w:val="1"/>
          <w:numId w:val="20"/>
        </w:numPr>
      </w:pPr>
      <w:r>
        <w:t>EC Textbook Recommendations</w:t>
      </w:r>
      <w:r w:rsidR="003428F5">
        <w:t xml:space="preserve"> [file </w:t>
      </w:r>
      <w:r>
        <w:t>3</w:t>
      </w:r>
      <w:r w:rsidR="003428F5">
        <w:t>]</w:t>
      </w:r>
    </w:p>
    <w:p w:rsidR="00412E56" w:rsidRPr="00412E56" w:rsidRDefault="00412E56" w:rsidP="00412E56">
      <w:pPr>
        <w:pStyle w:val="ListParagraph"/>
        <w:numPr>
          <w:ilvl w:val="0"/>
          <w:numId w:val="23"/>
        </w:numPr>
        <w:rPr>
          <w:b/>
        </w:rPr>
      </w:pPr>
      <w:r>
        <w:t xml:space="preserve">The Senate officers tried to develop some recommendations consistent with what they were hearing from CAAC and in discussions.  </w:t>
      </w:r>
    </w:p>
    <w:p w:rsidR="00412E56" w:rsidRPr="00412E56" w:rsidRDefault="00412E56" w:rsidP="00412E56">
      <w:pPr>
        <w:pStyle w:val="ListParagraph"/>
        <w:numPr>
          <w:ilvl w:val="0"/>
          <w:numId w:val="23"/>
        </w:numPr>
        <w:rPr>
          <w:b/>
        </w:rPr>
      </w:pPr>
      <w:r>
        <w:rPr>
          <w:i/>
        </w:rPr>
        <w:t xml:space="preserve">The officers are not opposed to the idea of oversight but any sort of oversight concerning textbook choices should be as close as possible to staying at the level of the discipline department, not a university-based oversight. </w:t>
      </w:r>
    </w:p>
    <w:p w:rsidR="00412E56" w:rsidRPr="00872987" w:rsidRDefault="00412E56" w:rsidP="00412E56">
      <w:pPr>
        <w:pStyle w:val="ListParagraph"/>
        <w:numPr>
          <w:ilvl w:val="0"/>
          <w:numId w:val="23"/>
        </w:numPr>
        <w:rPr>
          <w:b/>
        </w:rPr>
      </w:pPr>
      <w:r>
        <w:t xml:space="preserve">It was recommended that in item 3e, the word </w:t>
      </w:r>
      <w:r w:rsidRPr="00872987">
        <w:rPr>
          <w:i/>
        </w:rPr>
        <w:t>may</w:t>
      </w:r>
      <w:r>
        <w:t xml:space="preserve"> should be changed to </w:t>
      </w:r>
      <w:r w:rsidRPr="00872987">
        <w:rPr>
          <w:i/>
        </w:rPr>
        <w:t>shal</w:t>
      </w:r>
      <w:r w:rsidR="00872987" w:rsidRPr="00872987">
        <w:rPr>
          <w:i/>
        </w:rPr>
        <w:t>l</w:t>
      </w:r>
      <w:r w:rsidR="00872987">
        <w:t xml:space="preserve">, and in item 3d, the wording should be changed to </w:t>
      </w:r>
      <w:r w:rsidR="00872987" w:rsidRPr="00872987">
        <w:rPr>
          <w:i/>
        </w:rPr>
        <w:t>Chairs shall ensure that orders are placed for…</w:t>
      </w:r>
      <w:r w:rsidR="00872987">
        <w:t xml:space="preserve"> instead of </w:t>
      </w:r>
      <w:r w:rsidR="00872987" w:rsidRPr="00872987">
        <w:rPr>
          <w:i/>
        </w:rPr>
        <w:t>Chairs shall place orders</w:t>
      </w:r>
      <w:r w:rsidR="00872987">
        <w:t>…</w:t>
      </w:r>
    </w:p>
    <w:p w:rsidR="00872987" w:rsidRPr="00872987" w:rsidRDefault="00872987" w:rsidP="00412E56">
      <w:pPr>
        <w:pStyle w:val="ListParagraph"/>
        <w:numPr>
          <w:ilvl w:val="0"/>
          <w:numId w:val="23"/>
        </w:numPr>
        <w:rPr>
          <w:b/>
        </w:rPr>
      </w:pPr>
      <w:r>
        <w:rPr>
          <w:i/>
        </w:rPr>
        <w:t>Can schedule building and textbook adoption be linked?</w:t>
      </w:r>
    </w:p>
    <w:p w:rsidR="00872987" w:rsidRPr="00872987" w:rsidRDefault="00872987" w:rsidP="00872987">
      <w:pPr>
        <w:pStyle w:val="ListParagraph"/>
        <w:numPr>
          <w:ilvl w:val="1"/>
          <w:numId w:val="23"/>
        </w:numPr>
        <w:rPr>
          <w:b/>
        </w:rPr>
      </w:pPr>
      <w:r>
        <w:t>Response-</w:t>
      </w:r>
      <w:r>
        <w:rPr>
          <w:i/>
        </w:rPr>
        <w:t>I believe Banner has within it textbook ordering facilities for those institutions that own their own textbooks. We don’t have that.</w:t>
      </w:r>
    </w:p>
    <w:p w:rsidR="00872987" w:rsidRDefault="00F07A7F" w:rsidP="00E97903">
      <w:pPr>
        <w:pStyle w:val="ListParagraph"/>
        <w:numPr>
          <w:ilvl w:val="0"/>
          <w:numId w:val="23"/>
        </w:numPr>
        <w:rPr>
          <w:b/>
        </w:rPr>
      </w:pPr>
      <w:r>
        <w:t>Less than</w:t>
      </w:r>
      <w:r w:rsidR="00E97903">
        <w:t xml:space="preserve"> 50% of </w:t>
      </w:r>
      <w:proofErr w:type="gramStart"/>
      <w:r w:rsidR="00E97903">
        <w:t xml:space="preserve">faculty </w:t>
      </w:r>
      <w:r w:rsidR="00814152">
        <w:t>order</w:t>
      </w:r>
      <w:proofErr w:type="gramEnd"/>
      <w:r w:rsidR="00E97903">
        <w:t xml:space="preserve"> their textbook</w:t>
      </w:r>
      <w:r w:rsidR="00814152">
        <w:t>s</w:t>
      </w:r>
      <w:r w:rsidR="00E97903">
        <w:t xml:space="preserve"> online.</w:t>
      </w:r>
    </w:p>
    <w:p w:rsidR="00173D87" w:rsidRDefault="00173D87" w:rsidP="00173D87">
      <w:pPr>
        <w:pStyle w:val="ListParagraph"/>
        <w:ind w:left="1440"/>
      </w:pPr>
      <w:r>
        <w:rPr>
          <w:b/>
        </w:rPr>
        <w:t xml:space="preserve">MOTION TO APPROVE </w:t>
      </w:r>
      <w:r w:rsidR="0078025B">
        <w:t xml:space="preserve">the </w:t>
      </w:r>
      <w:r w:rsidR="00412E56">
        <w:t>EC response to the Textbook Taskforce report</w:t>
      </w:r>
      <w:r w:rsidR="0078025B">
        <w:t xml:space="preserve"> </w:t>
      </w:r>
      <w:r w:rsidR="00E97903">
        <w:t xml:space="preserve">with the recommended wording changes </w:t>
      </w:r>
      <w:r w:rsidR="0078025B">
        <w:t>(</w:t>
      </w:r>
      <w:r w:rsidR="00412E56">
        <w:t>T. Hawkins/</w:t>
      </w:r>
      <w:r w:rsidR="00D0754F">
        <w:t>A. Anderson</w:t>
      </w:r>
      <w:r>
        <w:t>; Vote:</w:t>
      </w:r>
      <w:r w:rsidR="00412E56">
        <w:t xml:space="preserve"> 6</w:t>
      </w:r>
      <w:r w:rsidR="00D0754F">
        <w:t>-0-0</w:t>
      </w:r>
      <w:r>
        <w:t>)</w:t>
      </w:r>
    </w:p>
    <w:p w:rsidR="00D0754F" w:rsidRPr="00173D87" w:rsidRDefault="00D0754F" w:rsidP="00173D87">
      <w:pPr>
        <w:pStyle w:val="ListParagraph"/>
        <w:ind w:left="1440"/>
      </w:pPr>
    </w:p>
    <w:p w:rsidR="005C6C8D" w:rsidRPr="00E97903" w:rsidRDefault="00E97903" w:rsidP="00E97903">
      <w:pPr>
        <w:pStyle w:val="ListParagraph"/>
        <w:numPr>
          <w:ilvl w:val="1"/>
          <w:numId w:val="20"/>
        </w:numPr>
        <w:rPr>
          <w:i/>
        </w:rPr>
      </w:pPr>
      <w:r>
        <w:lastRenderedPageBreak/>
        <w:t>University College Taskforce Report [files 4-8]</w:t>
      </w:r>
    </w:p>
    <w:p w:rsidR="00E97903" w:rsidRPr="004D1338" w:rsidRDefault="004D1338" w:rsidP="00E97903">
      <w:pPr>
        <w:pStyle w:val="ListParagraph"/>
        <w:numPr>
          <w:ilvl w:val="0"/>
          <w:numId w:val="24"/>
        </w:numPr>
        <w:rPr>
          <w:b/>
        </w:rPr>
      </w:pPr>
      <w:r>
        <w:t>CAAC, FAC and SAC each reviewed the report and brought their recommendations to EC.</w:t>
      </w:r>
    </w:p>
    <w:p w:rsidR="004D1338" w:rsidRPr="004D1338" w:rsidRDefault="004D1338" w:rsidP="00E97903">
      <w:pPr>
        <w:pStyle w:val="ListParagraph"/>
        <w:numPr>
          <w:ilvl w:val="0"/>
          <w:numId w:val="24"/>
        </w:numPr>
        <w:rPr>
          <w:b/>
        </w:rPr>
      </w:pPr>
      <w:r>
        <w:t>CAAC had three recommendations:</w:t>
      </w:r>
    </w:p>
    <w:p w:rsidR="004D1338" w:rsidRPr="004D1338" w:rsidRDefault="004D1338" w:rsidP="004D1338">
      <w:pPr>
        <w:pStyle w:val="ListParagraph"/>
        <w:numPr>
          <w:ilvl w:val="1"/>
          <w:numId w:val="24"/>
        </w:numPr>
        <w:rPr>
          <w:b/>
        </w:rPr>
      </w:pPr>
      <w:r>
        <w:t>Foundation Studies Council serve as the governing body for the University College.</w:t>
      </w:r>
    </w:p>
    <w:p w:rsidR="004D1338" w:rsidRPr="004D1338" w:rsidRDefault="004D1338" w:rsidP="004D1338">
      <w:pPr>
        <w:pStyle w:val="ListParagraph"/>
        <w:numPr>
          <w:ilvl w:val="1"/>
          <w:numId w:val="24"/>
        </w:numPr>
        <w:rPr>
          <w:b/>
        </w:rPr>
      </w:pPr>
      <w:r>
        <w:t>The Provost shall resolve disputes between the academic and UC deans.</w:t>
      </w:r>
      <w:r w:rsidR="00C62860">
        <w:t xml:space="preserve">  </w:t>
      </w:r>
      <w:r w:rsidR="00C62860">
        <w:rPr>
          <w:i/>
        </w:rPr>
        <w:t>In rare cases, when the academic dean has repeatedly sided with a Chairperson’s decision and against the UC Dean’s recommendation, the UC Dean may recommend a decision concerning the issue to the Provost (counter to the chairperson’s recommendation).  The Provost may implement that decision after discussion with the UC Dean and the Academic Dean.</w:t>
      </w:r>
    </w:p>
    <w:p w:rsidR="004D1338" w:rsidRPr="003C1995" w:rsidRDefault="003C1995" w:rsidP="004D1338">
      <w:pPr>
        <w:pStyle w:val="ListParagraph"/>
        <w:numPr>
          <w:ilvl w:val="1"/>
          <w:numId w:val="24"/>
        </w:numPr>
        <w:rPr>
          <w:b/>
        </w:rPr>
      </w:pPr>
      <w:r>
        <w:t>Restructuring relative to the Associate Vice President for Student Success.</w:t>
      </w:r>
    </w:p>
    <w:p w:rsidR="003C1995" w:rsidRPr="003C1995" w:rsidRDefault="003C1995" w:rsidP="003C1995">
      <w:pPr>
        <w:pStyle w:val="ListParagraph"/>
        <w:numPr>
          <w:ilvl w:val="0"/>
          <w:numId w:val="24"/>
        </w:numPr>
        <w:rPr>
          <w:b/>
        </w:rPr>
      </w:pPr>
      <w:r>
        <w:t>FAC had multiple responses to the report.  Items discussed included:</w:t>
      </w:r>
    </w:p>
    <w:p w:rsidR="003C1995" w:rsidRPr="003C1995" w:rsidRDefault="003C1995" w:rsidP="003C1995">
      <w:pPr>
        <w:pStyle w:val="ListParagraph"/>
        <w:numPr>
          <w:ilvl w:val="1"/>
          <w:numId w:val="24"/>
        </w:numPr>
        <w:rPr>
          <w:b/>
        </w:rPr>
      </w:pPr>
      <w:r>
        <w:t>Recommendation to continue tradition of direct admission of freshmen into an academic program</w:t>
      </w:r>
      <w:r w:rsidR="005A7B3B">
        <w:t xml:space="preserve"> for students for which this is an eligible action.</w:t>
      </w:r>
    </w:p>
    <w:p w:rsidR="003C1995" w:rsidRPr="003C1995" w:rsidRDefault="005A7B3B" w:rsidP="003C1995">
      <w:pPr>
        <w:pStyle w:val="ListParagraph"/>
        <w:numPr>
          <w:ilvl w:val="1"/>
          <w:numId w:val="24"/>
        </w:numPr>
        <w:rPr>
          <w:b/>
        </w:rPr>
      </w:pPr>
      <w:r>
        <w:t>There needs to be some clarification regarding what happens to students after being in the UC four semesters</w:t>
      </w:r>
      <w:r w:rsidR="003C1995">
        <w:t>.</w:t>
      </w:r>
    </w:p>
    <w:p w:rsidR="003C1995" w:rsidRPr="00C62860" w:rsidRDefault="003C1995" w:rsidP="003C1995">
      <w:pPr>
        <w:pStyle w:val="ListParagraph"/>
        <w:numPr>
          <w:ilvl w:val="1"/>
          <w:numId w:val="24"/>
        </w:numPr>
        <w:rPr>
          <w:b/>
        </w:rPr>
      </w:pPr>
      <w:r>
        <w:t>Foundational Studies Council should be severed from CAAC and become the governing body within UC.</w:t>
      </w:r>
    </w:p>
    <w:p w:rsidR="00C62860" w:rsidRPr="00C62860" w:rsidRDefault="00C62860" w:rsidP="003C1995">
      <w:pPr>
        <w:pStyle w:val="ListParagraph"/>
        <w:numPr>
          <w:ilvl w:val="1"/>
          <w:numId w:val="24"/>
        </w:numPr>
        <w:rPr>
          <w:b/>
        </w:rPr>
      </w:pPr>
      <w:r>
        <w:t>Supervision of University 101 instructors.  Should this be instruction?</w:t>
      </w:r>
    </w:p>
    <w:p w:rsidR="00C62860" w:rsidRPr="001C2579" w:rsidRDefault="00C62860" w:rsidP="00C62860">
      <w:pPr>
        <w:pStyle w:val="ListParagraph"/>
        <w:numPr>
          <w:ilvl w:val="0"/>
          <w:numId w:val="24"/>
        </w:numPr>
        <w:rPr>
          <w:b/>
          <w:i/>
        </w:rPr>
      </w:pPr>
      <w:r>
        <w:t xml:space="preserve">FAC motion:  </w:t>
      </w:r>
      <w:r w:rsidRPr="00C62860">
        <w:rPr>
          <w:i/>
        </w:rPr>
        <w:t xml:space="preserve">UC should create its own faculty governance body and submit its proposal for review and approval through the usual process.  FAC recommends that the UC faculty governance body structure parallel that of other academic colleges.  FAC further recommends that the FS Council be separated from CAAC and be charged to act </w:t>
      </w:r>
      <w:r w:rsidR="00F07A7F">
        <w:rPr>
          <w:i/>
        </w:rPr>
        <w:t xml:space="preserve">as </w:t>
      </w:r>
      <w:r w:rsidRPr="00C62860">
        <w:rPr>
          <w:i/>
        </w:rPr>
        <w:t>an autonomous governance body with the University College (5-0-0)</w:t>
      </w:r>
    </w:p>
    <w:p w:rsidR="001C2579" w:rsidRPr="00C62860" w:rsidRDefault="001C2579" w:rsidP="001C2579">
      <w:pPr>
        <w:pStyle w:val="ListParagraph"/>
        <w:numPr>
          <w:ilvl w:val="1"/>
          <w:numId w:val="24"/>
        </w:numPr>
        <w:rPr>
          <w:b/>
          <w:i/>
        </w:rPr>
      </w:pPr>
      <w:r>
        <w:t>Consensus to change wording in motion from …</w:t>
      </w:r>
      <w:r>
        <w:rPr>
          <w:i/>
        </w:rPr>
        <w:t xml:space="preserve">an autonomous… </w:t>
      </w:r>
      <w:r>
        <w:t>to …</w:t>
      </w:r>
      <w:r>
        <w:rPr>
          <w:i/>
        </w:rPr>
        <w:t>a college…</w:t>
      </w:r>
      <w:r>
        <w:t xml:space="preserve"> and add at the end of the sentence …</w:t>
      </w:r>
      <w:r>
        <w:rPr>
          <w:i/>
        </w:rPr>
        <w:t>consistent with the university faculty constitution.</w:t>
      </w:r>
    </w:p>
    <w:p w:rsidR="005A7B3B" w:rsidRPr="005A7B3B" w:rsidRDefault="005A7B3B" w:rsidP="005A7B3B">
      <w:pPr>
        <w:pStyle w:val="ListParagraph"/>
        <w:numPr>
          <w:ilvl w:val="0"/>
          <w:numId w:val="24"/>
        </w:numPr>
      </w:pPr>
      <w:r w:rsidRPr="005A7B3B">
        <w:t>SAC</w:t>
      </w:r>
      <w:r>
        <w:t xml:space="preserve"> </w:t>
      </w:r>
      <w:r w:rsidR="00F90582">
        <w:t xml:space="preserve">approved the taskforce with one exception.  SAC recommends that </w:t>
      </w:r>
      <w:r w:rsidR="00F90582">
        <w:rPr>
          <w:i/>
        </w:rPr>
        <w:t>all administrators work collaboratively to resolve issues but if a resolution is not forthcoming, the Provost will be the final authority.</w:t>
      </w:r>
      <w:r w:rsidR="00F90582">
        <w:t xml:space="preserve"> </w:t>
      </w:r>
      <w:r w:rsidR="00F90582">
        <w:rPr>
          <w:i/>
        </w:rPr>
        <w:t>(6-0-0)</w:t>
      </w:r>
    </w:p>
    <w:p w:rsidR="004D1338" w:rsidRDefault="004D1338" w:rsidP="005A7B3B">
      <w:pPr>
        <w:pStyle w:val="ListParagraph"/>
        <w:ind w:left="1800"/>
      </w:pPr>
      <w:r w:rsidRPr="004D1338">
        <w:rPr>
          <w:b/>
        </w:rPr>
        <w:t xml:space="preserve">MOTION TO APPROVE </w:t>
      </w:r>
      <w:r>
        <w:t xml:space="preserve">FAC’s </w:t>
      </w:r>
      <w:r w:rsidR="00B81245">
        <w:t>motion</w:t>
      </w:r>
      <w:r>
        <w:t xml:space="preserve"> regarding governance structure</w:t>
      </w:r>
      <w:r w:rsidR="001C2579">
        <w:t xml:space="preserve"> (with wording changes)</w:t>
      </w:r>
      <w:r>
        <w:t>, CAAC’s recommendation regarding the resolution of disagreements, and to send all committee reports to the Foundational Studies Council for their creation of a policy regarding the University College (T. Hawkins/K. Bolinger; Vote: 6-0-0)</w:t>
      </w:r>
    </w:p>
    <w:p w:rsidR="003C1995" w:rsidRDefault="003C1995" w:rsidP="005A7B3B">
      <w:pPr>
        <w:pStyle w:val="ListParagraph"/>
        <w:ind w:left="1080"/>
      </w:pPr>
    </w:p>
    <w:p w:rsidR="003C1995" w:rsidRDefault="00F90582" w:rsidP="004A73ED">
      <w:pPr>
        <w:pStyle w:val="ListParagraph"/>
        <w:numPr>
          <w:ilvl w:val="1"/>
          <w:numId w:val="20"/>
        </w:numPr>
        <w:spacing w:after="0"/>
      </w:pPr>
      <w:r>
        <w:t>Appointment of Acting Chair (FAC) [file 9]</w:t>
      </w:r>
    </w:p>
    <w:p w:rsidR="004A73ED" w:rsidRPr="0054720D" w:rsidRDefault="00B81245" w:rsidP="001C2579">
      <w:pPr>
        <w:pStyle w:val="ListParagraph"/>
        <w:numPr>
          <w:ilvl w:val="0"/>
          <w:numId w:val="26"/>
        </w:numPr>
        <w:spacing w:after="0"/>
        <w:rPr>
          <w:b/>
        </w:rPr>
      </w:pPr>
      <w:r>
        <w:lastRenderedPageBreak/>
        <w:t>FAC was seeking to insure with this recommendation to changes in the handbook that there are minimal differences between the process by which an ongoing chairperson and an acting chairperson are appointed.  Department faculty should participate fully in the selection process of their chairperson and no chairperson should be appointed or remo</w:t>
      </w:r>
      <w:r w:rsidR="0054720D">
        <w:t>ved without faculty involvement, expressed formally.</w:t>
      </w:r>
    </w:p>
    <w:p w:rsidR="0054720D" w:rsidRPr="001C2579" w:rsidRDefault="0054720D" w:rsidP="001C2579">
      <w:pPr>
        <w:pStyle w:val="ListParagraph"/>
        <w:numPr>
          <w:ilvl w:val="0"/>
          <w:numId w:val="26"/>
        </w:numPr>
        <w:spacing w:after="0"/>
        <w:rPr>
          <w:b/>
        </w:rPr>
      </w:pPr>
      <w:r>
        <w:t>President’s comment-</w:t>
      </w:r>
      <w:r>
        <w:rPr>
          <w:i/>
        </w:rPr>
        <w:t>I would ask that you discuss this with Provost Maynard before any action is taken.</w:t>
      </w:r>
    </w:p>
    <w:p w:rsidR="004A73ED" w:rsidRDefault="004A73ED" w:rsidP="004A73ED">
      <w:pPr>
        <w:spacing w:after="0"/>
        <w:ind w:left="1440"/>
      </w:pPr>
      <w:r>
        <w:rPr>
          <w:b/>
        </w:rPr>
        <w:t>M</w:t>
      </w:r>
      <w:r w:rsidRPr="004A73ED">
        <w:rPr>
          <w:b/>
        </w:rPr>
        <w:t xml:space="preserve">OTION TO APPROVE </w:t>
      </w:r>
      <w:r>
        <w:t>FAC’s recommendation regarding the appointment of chairpersons (T. Hawkins/A. Anderson; Vote</w:t>
      </w:r>
      <w:proofErr w:type="gramStart"/>
      <w:r>
        <w:t>: )</w:t>
      </w:r>
      <w:proofErr w:type="gramEnd"/>
    </w:p>
    <w:p w:rsidR="004A73ED" w:rsidRDefault="004A73ED" w:rsidP="004A73ED">
      <w:pPr>
        <w:spacing w:after="0"/>
        <w:ind w:left="1440"/>
      </w:pPr>
      <w:r>
        <w:rPr>
          <w:b/>
        </w:rPr>
        <w:t xml:space="preserve">MOTION TO TABLE </w:t>
      </w:r>
      <w:r>
        <w:t>FAC’s recommendation regarding the appointment of chairpersons until next year’s EC meets (T. Hawkins/A. Anderson; Vote: 6-0-0)</w:t>
      </w:r>
    </w:p>
    <w:p w:rsidR="004A73ED" w:rsidRDefault="004A73ED" w:rsidP="004A73ED"/>
    <w:p w:rsidR="004A73ED" w:rsidRDefault="004A73ED" w:rsidP="004A73ED">
      <w:pPr>
        <w:pStyle w:val="ListParagraph"/>
        <w:numPr>
          <w:ilvl w:val="1"/>
          <w:numId w:val="20"/>
        </w:numPr>
      </w:pPr>
      <w:r>
        <w:t>Legal Topics Recommendation [file 10]</w:t>
      </w:r>
    </w:p>
    <w:p w:rsidR="00A14CED" w:rsidRDefault="00A14CED" w:rsidP="00A14CED">
      <w:pPr>
        <w:pStyle w:val="ListParagraph"/>
        <w:numPr>
          <w:ilvl w:val="0"/>
          <w:numId w:val="27"/>
        </w:numPr>
        <w:rPr>
          <w:b/>
        </w:rPr>
      </w:pPr>
      <w:r>
        <w:t>FAC recommends the Office of the President schedule a session annually to give faculty up-to-date information on how faculty handle matters relating to legal aspects of our roles as faculty and to address those questions.  The administration is agreeable to this recommendation.</w:t>
      </w:r>
    </w:p>
    <w:p w:rsidR="004A73ED" w:rsidRDefault="004A73ED" w:rsidP="004A73ED">
      <w:pPr>
        <w:pStyle w:val="ListParagraph"/>
        <w:ind w:left="1440"/>
      </w:pPr>
      <w:r>
        <w:rPr>
          <w:b/>
        </w:rPr>
        <w:t>MOTION TO APPROVE</w:t>
      </w:r>
      <w:r>
        <w:t xml:space="preserve"> FAC’s recommendation regarding updating and informing faculty about potential legal actions related to </w:t>
      </w:r>
      <w:r w:rsidR="001C2579">
        <w:t>their teaching, advising, etc.  (T. Hawkins/A. Anderson; Vote: 6-0-0)</w:t>
      </w:r>
    </w:p>
    <w:p w:rsidR="00A14CED" w:rsidRPr="004A73ED" w:rsidRDefault="00A14CED" w:rsidP="004A73ED">
      <w:pPr>
        <w:pStyle w:val="ListParagraph"/>
        <w:ind w:left="1440"/>
      </w:pPr>
    </w:p>
    <w:p w:rsidR="004A73ED" w:rsidRDefault="00A14CED" w:rsidP="004A73ED">
      <w:pPr>
        <w:pStyle w:val="ListParagraph"/>
        <w:numPr>
          <w:ilvl w:val="1"/>
          <w:numId w:val="20"/>
        </w:numPr>
      </w:pPr>
      <w:r>
        <w:t>FAC response to Outside Employment [file 11]</w:t>
      </w:r>
    </w:p>
    <w:p w:rsidR="00A14CED" w:rsidRDefault="00A14CED" w:rsidP="004A73ED">
      <w:pPr>
        <w:pStyle w:val="ListParagraph"/>
        <w:numPr>
          <w:ilvl w:val="1"/>
          <w:numId w:val="20"/>
        </w:numPr>
      </w:pPr>
      <w:r>
        <w:t>FAC response to Governance Efficiency [file 12]</w:t>
      </w:r>
    </w:p>
    <w:p w:rsidR="00A14CED" w:rsidRDefault="00A14CED" w:rsidP="004A73ED">
      <w:pPr>
        <w:pStyle w:val="ListParagraph"/>
        <w:numPr>
          <w:ilvl w:val="1"/>
          <w:numId w:val="20"/>
        </w:numPr>
      </w:pPr>
      <w:r>
        <w:t>FAC response to Clinical Faculty charge [file 13]</w:t>
      </w:r>
    </w:p>
    <w:p w:rsidR="00836788" w:rsidRPr="00836788" w:rsidRDefault="00836788" w:rsidP="00836788">
      <w:pPr>
        <w:pStyle w:val="ListParagraph"/>
        <w:numPr>
          <w:ilvl w:val="0"/>
          <w:numId w:val="27"/>
        </w:numPr>
      </w:pPr>
      <w:r>
        <w:t>FAC recommends that further discussion is needed regarding all three of the above items.</w:t>
      </w:r>
    </w:p>
    <w:p w:rsidR="00A14CED" w:rsidRPr="00A14CED" w:rsidRDefault="00A14CED" w:rsidP="00A14CED">
      <w:pPr>
        <w:pStyle w:val="ListParagraph"/>
        <w:ind w:left="1440"/>
      </w:pPr>
      <w:r>
        <w:rPr>
          <w:b/>
        </w:rPr>
        <w:t xml:space="preserve">MOTION TO FORWARD </w:t>
      </w:r>
      <w:r>
        <w:t xml:space="preserve">items g, h, and </w:t>
      </w:r>
      <w:r w:rsidR="00836788">
        <w:t>i</w:t>
      </w:r>
      <w:r>
        <w:t xml:space="preserve"> to next year’s senate (K. Bolinger/T. Hawkins; Vote 6-0-0)</w:t>
      </w:r>
    </w:p>
    <w:p w:rsidR="00224407" w:rsidRPr="00224407" w:rsidRDefault="00224407" w:rsidP="00173D87">
      <w:pPr>
        <w:pStyle w:val="ListParagraph"/>
        <w:ind w:left="1440"/>
      </w:pPr>
    </w:p>
    <w:p w:rsidR="001625FE" w:rsidRDefault="001625FE" w:rsidP="00206874">
      <w:pPr>
        <w:pStyle w:val="ListParagraph"/>
        <w:numPr>
          <w:ilvl w:val="0"/>
          <w:numId w:val="20"/>
        </w:numPr>
      </w:pPr>
      <w:r>
        <w:t>Adjournment</w:t>
      </w:r>
    </w:p>
    <w:p w:rsidR="00591091" w:rsidRPr="00591091" w:rsidRDefault="00591091" w:rsidP="00591091">
      <w:pPr>
        <w:pStyle w:val="ListParagraph"/>
        <w:ind w:left="1440"/>
      </w:pPr>
      <w:r>
        <w:rPr>
          <w:b/>
        </w:rPr>
        <w:t xml:space="preserve">MOTION TO ADJOURN </w:t>
      </w:r>
      <w:r w:rsidR="004D1338">
        <w:t>(A. Anderson/T Hawkins; Vote: 6-0-0) Time: 5:20</w:t>
      </w:r>
    </w:p>
    <w:sectPr w:rsidR="00591091" w:rsidRPr="00591091" w:rsidSect="0096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0B1"/>
    <w:multiLevelType w:val="hybridMultilevel"/>
    <w:tmpl w:val="670A89D8"/>
    <w:lvl w:ilvl="0" w:tplc="855EE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F264F"/>
    <w:multiLevelType w:val="hybridMultilevel"/>
    <w:tmpl w:val="9DE4A49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27BCC"/>
    <w:multiLevelType w:val="hybridMultilevel"/>
    <w:tmpl w:val="4E4E7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8363CD"/>
    <w:multiLevelType w:val="hybridMultilevel"/>
    <w:tmpl w:val="18AE2822"/>
    <w:lvl w:ilvl="0" w:tplc="E4AA00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16B1C"/>
    <w:multiLevelType w:val="hybridMultilevel"/>
    <w:tmpl w:val="AED49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E45E3"/>
    <w:multiLevelType w:val="hybridMultilevel"/>
    <w:tmpl w:val="FBD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07ED1"/>
    <w:multiLevelType w:val="hybridMultilevel"/>
    <w:tmpl w:val="858CF5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CE742F"/>
    <w:multiLevelType w:val="hybridMultilevel"/>
    <w:tmpl w:val="92926F3C"/>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610" w:hanging="360"/>
      </w:pPr>
      <w:rPr>
        <w:rFonts w:hint="default"/>
        <w:b w:val="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217408"/>
    <w:multiLevelType w:val="hybridMultilevel"/>
    <w:tmpl w:val="5D5ACC62"/>
    <w:lvl w:ilvl="0" w:tplc="BF8C1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BA7B35"/>
    <w:multiLevelType w:val="hybridMultilevel"/>
    <w:tmpl w:val="01C2AE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DC070B"/>
    <w:multiLevelType w:val="hybridMultilevel"/>
    <w:tmpl w:val="41720318"/>
    <w:lvl w:ilvl="0" w:tplc="C4BE310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D038CA"/>
    <w:multiLevelType w:val="hybridMultilevel"/>
    <w:tmpl w:val="DAF6C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97453FB"/>
    <w:multiLevelType w:val="hybridMultilevel"/>
    <w:tmpl w:val="45C8964E"/>
    <w:lvl w:ilvl="0" w:tplc="041AC2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4D5953"/>
    <w:multiLevelType w:val="hybridMultilevel"/>
    <w:tmpl w:val="28D4A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F26C3A"/>
    <w:multiLevelType w:val="hybridMultilevel"/>
    <w:tmpl w:val="B0986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D06D2C"/>
    <w:multiLevelType w:val="hybridMultilevel"/>
    <w:tmpl w:val="DD3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85F7C"/>
    <w:multiLevelType w:val="hybridMultilevel"/>
    <w:tmpl w:val="D9AC3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44F3523"/>
    <w:multiLevelType w:val="hybridMultilevel"/>
    <w:tmpl w:val="5D5051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64C6083"/>
    <w:multiLevelType w:val="hybridMultilevel"/>
    <w:tmpl w:val="86EA2890"/>
    <w:lvl w:ilvl="0" w:tplc="E4868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F5186A"/>
    <w:multiLevelType w:val="hybridMultilevel"/>
    <w:tmpl w:val="1F1CF538"/>
    <w:lvl w:ilvl="0" w:tplc="3B826E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4F2914"/>
    <w:multiLevelType w:val="hybridMultilevel"/>
    <w:tmpl w:val="C2B4F430"/>
    <w:lvl w:ilvl="0" w:tplc="36A47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F3452"/>
    <w:multiLevelType w:val="hybridMultilevel"/>
    <w:tmpl w:val="5BA6886A"/>
    <w:lvl w:ilvl="0" w:tplc="5CEE6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1761CC"/>
    <w:multiLevelType w:val="hybridMultilevel"/>
    <w:tmpl w:val="D700B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653113E"/>
    <w:multiLevelType w:val="hybridMultilevel"/>
    <w:tmpl w:val="C8BA416E"/>
    <w:lvl w:ilvl="0" w:tplc="A3F81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8927F2"/>
    <w:multiLevelType w:val="hybridMultilevel"/>
    <w:tmpl w:val="C786D36C"/>
    <w:lvl w:ilvl="0" w:tplc="FB34A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143E8"/>
    <w:multiLevelType w:val="hybridMultilevel"/>
    <w:tmpl w:val="6BF047B0"/>
    <w:lvl w:ilvl="0" w:tplc="855EE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DD6372"/>
    <w:multiLevelType w:val="hybridMultilevel"/>
    <w:tmpl w:val="D1E491C2"/>
    <w:lvl w:ilvl="0" w:tplc="3A7E5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
  </w:num>
  <w:num w:numId="3">
    <w:abstractNumId w:val="26"/>
  </w:num>
  <w:num w:numId="4">
    <w:abstractNumId w:val="23"/>
  </w:num>
  <w:num w:numId="5">
    <w:abstractNumId w:val="8"/>
  </w:num>
  <w:num w:numId="6">
    <w:abstractNumId w:val="24"/>
  </w:num>
  <w:num w:numId="7">
    <w:abstractNumId w:val="19"/>
  </w:num>
  <w:num w:numId="8">
    <w:abstractNumId w:val="0"/>
  </w:num>
  <w:num w:numId="9">
    <w:abstractNumId w:val="25"/>
  </w:num>
  <w:num w:numId="10">
    <w:abstractNumId w:val="21"/>
  </w:num>
  <w:num w:numId="11">
    <w:abstractNumId w:val="18"/>
  </w:num>
  <w:num w:numId="12">
    <w:abstractNumId w:val="12"/>
  </w:num>
  <w:num w:numId="13">
    <w:abstractNumId w:val="16"/>
  </w:num>
  <w:num w:numId="14">
    <w:abstractNumId w:val="15"/>
  </w:num>
  <w:num w:numId="15">
    <w:abstractNumId w:val="5"/>
  </w:num>
  <w:num w:numId="16">
    <w:abstractNumId w:val="4"/>
  </w:num>
  <w:num w:numId="17">
    <w:abstractNumId w:val="22"/>
  </w:num>
  <w:num w:numId="18">
    <w:abstractNumId w:val="9"/>
  </w:num>
  <w:num w:numId="19">
    <w:abstractNumId w:val="10"/>
  </w:num>
  <w:num w:numId="20">
    <w:abstractNumId w:val="3"/>
  </w:num>
  <w:num w:numId="21">
    <w:abstractNumId w:val="13"/>
  </w:num>
  <w:num w:numId="22">
    <w:abstractNumId w:val="17"/>
  </w:num>
  <w:num w:numId="23">
    <w:abstractNumId w:val="6"/>
  </w:num>
  <w:num w:numId="24">
    <w:abstractNumId w:val="7"/>
  </w:num>
  <w:num w:numId="25">
    <w:abstractNumId w:val="11"/>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625FE"/>
    <w:rsid w:val="00003B8B"/>
    <w:rsid w:val="000B4E2D"/>
    <w:rsid w:val="000C5E45"/>
    <w:rsid w:val="000D037F"/>
    <w:rsid w:val="00102513"/>
    <w:rsid w:val="001059F1"/>
    <w:rsid w:val="001625FE"/>
    <w:rsid w:val="00173D87"/>
    <w:rsid w:val="001976B4"/>
    <w:rsid w:val="001C2579"/>
    <w:rsid w:val="001E2DFD"/>
    <w:rsid w:val="00206874"/>
    <w:rsid w:val="00210A00"/>
    <w:rsid w:val="00224407"/>
    <w:rsid w:val="00276E09"/>
    <w:rsid w:val="00283153"/>
    <w:rsid w:val="002B6AA5"/>
    <w:rsid w:val="002F4B5A"/>
    <w:rsid w:val="0032280E"/>
    <w:rsid w:val="003428F5"/>
    <w:rsid w:val="00351657"/>
    <w:rsid w:val="00353BCD"/>
    <w:rsid w:val="0038268A"/>
    <w:rsid w:val="0039728F"/>
    <w:rsid w:val="003C1995"/>
    <w:rsid w:val="003D1719"/>
    <w:rsid w:val="003D3C17"/>
    <w:rsid w:val="003F5245"/>
    <w:rsid w:val="003F706C"/>
    <w:rsid w:val="00412E56"/>
    <w:rsid w:val="004679F4"/>
    <w:rsid w:val="004A73ED"/>
    <w:rsid w:val="004B291C"/>
    <w:rsid w:val="004D1338"/>
    <w:rsid w:val="00514FE6"/>
    <w:rsid w:val="0054720D"/>
    <w:rsid w:val="005511B6"/>
    <w:rsid w:val="005747C2"/>
    <w:rsid w:val="00591091"/>
    <w:rsid w:val="005A1A4D"/>
    <w:rsid w:val="005A7B3B"/>
    <w:rsid w:val="005C6C8D"/>
    <w:rsid w:val="005D3A3D"/>
    <w:rsid w:val="005F34C7"/>
    <w:rsid w:val="00604F12"/>
    <w:rsid w:val="00654063"/>
    <w:rsid w:val="006870B7"/>
    <w:rsid w:val="006B3ED7"/>
    <w:rsid w:val="006E4054"/>
    <w:rsid w:val="006F12BA"/>
    <w:rsid w:val="006F2E44"/>
    <w:rsid w:val="00712CD3"/>
    <w:rsid w:val="00761E6E"/>
    <w:rsid w:val="0078025B"/>
    <w:rsid w:val="00786C13"/>
    <w:rsid w:val="007C082B"/>
    <w:rsid w:val="007D6934"/>
    <w:rsid w:val="00814152"/>
    <w:rsid w:val="00836788"/>
    <w:rsid w:val="0087261B"/>
    <w:rsid w:val="00872987"/>
    <w:rsid w:val="00875985"/>
    <w:rsid w:val="008909AF"/>
    <w:rsid w:val="008A729F"/>
    <w:rsid w:val="008D76D3"/>
    <w:rsid w:val="008F65C7"/>
    <w:rsid w:val="00924146"/>
    <w:rsid w:val="00932549"/>
    <w:rsid w:val="009618C1"/>
    <w:rsid w:val="00965AF7"/>
    <w:rsid w:val="00966E10"/>
    <w:rsid w:val="0098392D"/>
    <w:rsid w:val="00992876"/>
    <w:rsid w:val="009A0F7B"/>
    <w:rsid w:val="009A47EB"/>
    <w:rsid w:val="009D3071"/>
    <w:rsid w:val="00A14CED"/>
    <w:rsid w:val="00A4484B"/>
    <w:rsid w:val="00AF7C49"/>
    <w:rsid w:val="00B22ABA"/>
    <w:rsid w:val="00B36798"/>
    <w:rsid w:val="00B81245"/>
    <w:rsid w:val="00B81DEE"/>
    <w:rsid w:val="00C35470"/>
    <w:rsid w:val="00C62860"/>
    <w:rsid w:val="00C8698C"/>
    <w:rsid w:val="00CB69D6"/>
    <w:rsid w:val="00CC00E4"/>
    <w:rsid w:val="00CE019F"/>
    <w:rsid w:val="00CE4B90"/>
    <w:rsid w:val="00D0754F"/>
    <w:rsid w:val="00D14618"/>
    <w:rsid w:val="00D14B77"/>
    <w:rsid w:val="00D50A4B"/>
    <w:rsid w:val="00D722A9"/>
    <w:rsid w:val="00D83E84"/>
    <w:rsid w:val="00D90F7E"/>
    <w:rsid w:val="00DA4B65"/>
    <w:rsid w:val="00DC541E"/>
    <w:rsid w:val="00E011FE"/>
    <w:rsid w:val="00E97903"/>
    <w:rsid w:val="00EA150B"/>
    <w:rsid w:val="00EA2171"/>
    <w:rsid w:val="00EB4A91"/>
    <w:rsid w:val="00EE77C7"/>
    <w:rsid w:val="00F07A7F"/>
    <w:rsid w:val="00F575AD"/>
    <w:rsid w:val="00F8354B"/>
    <w:rsid w:val="00F90461"/>
    <w:rsid w:val="00F90582"/>
    <w:rsid w:val="00FD035F"/>
    <w:rsid w:val="00FF1A46"/>
    <w:rsid w:val="00FF3982"/>
    <w:rsid w:val="00FF4C65"/>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25FE"/>
    <w:pPr>
      <w:ind w:left="720"/>
      <w:contextualSpacing/>
    </w:pPr>
  </w:style>
  <w:style w:type="paragraph" w:styleId="NoSpacing">
    <w:name w:val="No Spacing"/>
    <w:uiPriority w:val="1"/>
    <w:qFormat/>
    <w:rsid w:val="004B29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2013-02-28T15:37:00Z</cp:lastPrinted>
  <dcterms:created xsi:type="dcterms:W3CDTF">2013-04-29T13:32:00Z</dcterms:created>
  <dcterms:modified xsi:type="dcterms:W3CDTF">2013-05-01T13:55:00Z</dcterms:modified>
</cp:coreProperties>
</file>