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078D4399" w:rsidR="00351490" w:rsidRDefault="081EA8A9" w:rsidP="081EA8A9">
      <w:pPr>
        <w:spacing w:after="0" w:line="240" w:lineRule="auto"/>
        <w:jc w:val="center"/>
        <w:rPr>
          <w:rFonts w:eastAsia="Times New Roman"/>
          <w:b/>
          <w:bCs/>
          <w:sz w:val="28"/>
          <w:szCs w:val="28"/>
        </w:rPr>
      </w:pPr>
      <w:r w:rsidRPr="081EA8A9">
        <w:rPr>
          <w:b/>
          <w:bCs/>
        </w:rPr>
        <w:t xml:space="preserve">Meeting # </w:t>
      </w:r>
      <w:r w:rsidR="00B609F9">
        <w:rPr>
          <w:b/>
          <w:bCs/>
        </w:rPr>
        <w:t>1</w:t>
      </w:r>
      <w:r w:rsidR="00ED3CB1">
        <w:rPr>
          <w:b/>
          <w:bCs/>
        </w:rPr>
        <w:t>4</w:t>
      </w:r>
    </w:p>
    <w:p w14:paraId="6B551E9D" w14:textId="19219804" w:rsidR="00351490" w:rsidRPr="007B4915" w:rsidRDefault="007F6D8C" w:rsidP="081EA8A9">
      <w:pPr>
        <w:spacing w:after="0" w:line="240" w:lineRule="auto"/>
        <w:jc w:val="center"/>
        <w:rPr>
          <w:b/>
          <w:bCs/>
        </w:rPr>
      </w:pPr>
      <w:r>
        <w:rPr>
          <w:b/>
          <w:bCs/>
        </w:rPr>
        <w:t xml:space="preserve">March </w:t>
      </w:r>
      <w:r w:rsidR="00ED3CB1">
        <w:rPr>
          <w:b/>
          <w:bCs/>
        </w:rPr>
        <w:t>10</w:t>
      </w:r>
      <w:r w:rsidR="008252E3">
        <w:rPr>
          <w:b/>
          <w:bCs/>
        </w:rPr>
        <w:t>, 2020</w:t>
      </w:r>
    </w:p>
    <w:p w14:paraId="047C8F08" w14:textId="4FEAD729" w:rsidR="00351490" w:rsidRDefault="00351490" w:rsidP="00351490">
      <w:pPr>
        <w:spacing w:after="0" w:line="240" w:lineRule="auto"/>
        <w:jc w:val="center"/>
        <w:rPr>
          <w:b/>
        </w:rPr>
      </w:pPr>
      <w:r w:rsidRPr="007B4915">
        <w:rPr>
          <w:b/>
        </w:rPr>
        <w:t>Stalker Hall, Room 211</w:t>
      </w:r>
    </w:p>
    <w:p w14:paraId="7F4D14C9" w14:textId="77777777" w:rsidR="00935DDE" w:rsidRPr="007B4915" w:rsidRDefault="00935DDE" w:rsidP="00351490">
      <w:pPr>
        <w:spacing w:after="0" w:line="240" w:lineRule="auto"/>
        <w:jc w:val="center"/>
        <w:rPr>
          <w:b/>
        </w:rPr>
      </w:pPr>
    </w:p>
    <w:p w14:paraId="0C13EAF7" w14:textId="48B07869" w:rsidR="00D164AA" w:rsidRDefault="00351490" w:rsidP="00276177">
      <w:r w:rsidRPr="009C1048">
        <w:rPr>
          <w:b/>
        </w:rPr>
        <w:t>CAAC Members Present</w:t>
      </w:r>
      <w:r>
        <w:t>:</w:t>
      </w:r>
      <w:r w:rsidR="009C0400" w:rsidRPr="009C0400">
        <w:t xml:space="preserve"> Dan Clark, </w:t>
      </w:r>
      <w:r w:rsidR="00C44FF3">
        <w:t xml:space="preserve">Farman Moayed, Rolland </w:t>
      </w:r>
      <w:proofErr w:type="spellStart"/>
      <w:r w:rsidR="00C44FF3">
        <w:t>McG</w:t>
      </w:r>
      <w:r w:rsidR="00CC4668">
        <w:t>iverin</w:t>
      </w:r>
      <w:proofErr w:type="spellEnd"/>
      <w:r w:rsidR="008474E1">
        <w:t xml:space="preserve">, </w:t>
      </w:r>
      <w:r w:rsidR="00B609F9">
        <w:t xml:space="preserve">, </w:t>
      </w:r>
      <w:r w:rsidR="009C0400" w:rsidRPr="009C0400">
        <w:t xml:space="preserve">Margaret Hill, </w:t>
      </w:r>
      <w:r w:rsidR="008474E1">
        <w:t>Winnie Ko,</w:t>
      </w:r>
      <w:r w:rsidR="008252E3" w:rsidRPr="00D164AA">
        <w:t xml:space="preserve"> </w:t>
      </w:r>
      <w:r w:rsidR="008252E3" w:rsidRPr="009C0400">
        <w:t>Renee Bauer</w:t>
      </w:r>
      <w:r w:rsidR="00B609F9">
        <w:t xml:space="preserve">, </w:t>
      </w:r>
      <w:r w:rsidR="00ED3CB1">
        <w:t xml:space="preserve">Jeff Kinne </w:t>
      </w:r>
      <w:r w:rsidR="00276177">
        <w:rPr>
          <w:rFonts w:ascii="Times New Roman" w:eastAsia="Times New Roman" w:hAnsi="Times New Roman" w:cs="Times New Roman"/>
          <w:sz w:val="24"/>
          <w:szCs w:val="24"/>
        </w:rPr>
        <w:br/>
      </w:r>
      <w:r w:rsidRPr="009C1048">
        <w:rPr>
          <w:b/>
        </w:rPr>
        <w:t>Absent:</w:t>
      </w:r>
      <w:r w:rsidR="00ED3CB1" w:rsidRPr="00ED3CB1">
        <w:t xml:space="preserve"> </w:t>
      </w:r>
      <w:r w:rsidR="00ED3CB1">
        <w:t>Blake Rayfield</w:t>
      </w:r>
      <w:r w:rsidR="007F6D8C">
        <w:t xml:space="preserve">, </w:t>
      </w:r>
      <w:r w:rsidR="007F6D8C" w:rsidRPr="009C0400">
        <w:t>Brian Schaefer</w:t>
      </w:r>
      <w:r w:rsidR="00276177">
        <w:rPr>
          <w:rFonts w:ascii="Times New Roman" w:eastAsia="Times New Roman" w:hAnsi="Times New Roman" w:cs="Times New Roman"/>
          <w:sz w:val="24"/>
          <w:szCs w:val="24"/>
        </w:rPr>
        <w:br/>
      </w:r>
      <w:r>
        <w:rPr>
          <w:b/>
        </w:rPr>
        <w:t>Guest</w:t>
      </w:r>
      <w:r w:rsidR="00B609F9">
        <w:rPr>
          <w:b/>
        </w:rPr>
        <w:t>s</w:t>
      </w:r>
      <w:r w:rsidR="005F79B1">
        <w:t>:</w:t>
      </w:r>
      <w:r w:rsidR="00776FEF">
        <w:t xml:space="preserve"> </w:t>
      </w:r>
      <w:r w:rsidR="00ED3CB1">
        <w:t>Randy Peters</w:t>
      </w:r>
      <w:r w:rsidR="00776CFF">
        <w:t>, Mark Collins</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Whitney </w:t>
      </w:r>
      <w:proofErr w:type="spellStart"/>
      <w:r w:rsidR="0057452D">
        <w:t>Nesser</w:t>
      </w:r>
      <w:proofErr w:type="spellEnd"/>
      <w:r w:rsidR="0057452D">
        <w:t xml:space="preserve">, </w:t>
      </w:r>
      <w:r w:rsidR="00B609F9">
        <w:t xml:space="preserve">Angie Smith, </w:t>
      </w:r>
      <w:r w:rsidR="008252E3" w:rsidRPr="00BA42E1">
        <w:t>Bassam Yousif</w:t>
      </w:r>
      <w:r w:rsidR="00935DDE">
        <w:t>,</w:t>
      </w:r>
      <w:r w:rsidR="00935DDE" w:rsidRPr="00935DDE">
        <w:t xml:space="preserve"> </w:t>
      </w:r>
      <w:r w:rsidR="00ED3CB1">
        <w:t>Judy Sheese</w:t>
      </w:r>
      <w:r w:rsidR="00CC4668">
        <w:t xml:space="preserve">, </w:t>
      </w:r>
      <w:r w:rsidR="007F6D8C">
        <w:t>Jim Smallwood</w:t>
      </w:r>
      <w:r w:rsidR="00935DDE">
        <w:t xml:space="preserve">.  </w:t>
      </w:r>
    </w:p>
    <w:p w14:paraId="38B4F77C" w14:textId="255C5DF9" w:rsidR="009D303D" w:rsidRPr="00276177" w:rsidRDefault="00935DDE" w:rsidP="00276177">
      <w:pPr>
        <w:rPr>
          <w:rFonts w:ascii="Times New Roman" w:eastAsia="Times New Roman" w:hAnsi="Times New Roman" w:cs="Times New Roman"/>
          <w:sz w:val="24"/>
          <w:szCs w:val="24"/>
        </w:rPr>
      </w:pPr>
      <w:r>
        <w:t>Absent but ke</w:t>
      </w:r>
      <w:r w:rsidR="0057452D">
        <w:t>p</w:t>
      </w:r>
      <w:r>
        <w:t>t</w:t>
      </w:r>
      <w:r w:rsidR="0057452D">
        <w:t xml:space="preserve"> on the weekly invitation –</w:t>
      </w:r>
      <w:r w:rsidR="00ED3CB1" w:rsidRPr="00ED3CB1">
        <w:t xml:space="preserve"> </w:t>
      </w:r>
      <w:r w:rsidR="00ED3CB1">
        <w:t>Kelly Wilkinson</w:t>
      </w:r>
      <w:r w:rsidR="007F6D8C">
        <w:t>,</w:t>
      </w:r>
      <w:r w:rsidR="007F6D8C" w:rsidRPr="00CC4668">
        <w:t xml:space="preserve"> </w:t>
      </w:r>
      <w:r w:rsidR="00ED3CB1">
        <w:t xml:space="preserve">Susan Powers, </w:t>
      </w:r>
      <w:r w:rsidR="007F6D8C">
        <w:t>Linda Maule</w:t>
      </w:r>
    </w:p>
    <w:tbl>
      <w:tblPr>
        <w:tblStyle w:val="TableGrid"/>
        <w:tblW w:w="9805" w:type="dxa"/>
        <w:tblLook w:val="04A0" w:firstRow="1" w:lastRow="0" w:firstColumn="1" w:lastColumn="0" w:noHBand="0" w:noVBand="1"/>
      </w:tblPr>
      <w:tblGrid>
        <w:gridCol w:w="2612"/>
        <w:gridCol w:w="4665"/>
        <w:gridCol w:w="2528"/>
      </w:tblGrid>
      <w:tr w:rsidR="009017F3" w14:paraId="56530705" w14:textId="77777777" w:rsidTr="00B63220">
        <w:tc>
          <w:tcPr>
            <w:tcW w:w="2612"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4665"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B63220">
        <w:tc>
          <w:tcPr>
            <w:tcW w:w="2612"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4665" w:type="dxa"/>
          </w:tcPr>
          <w:p w14:paraId="672A6659" w14:textId="787E3698" w:rsidR="005F79B1" w:rsidRDefault="00935DDE" w:rsidP="00CC4668">
            <w:r>
              <w:t xml:space="preserve">Winnie Ko </w:t>
            </w:r>
            <w:r w:rsidR="005F79B1">
              <w:t>called meeting to order at</w:t>
            </w:r>
            <w:r w:rsidR="00012380">
              <w:t xml:space="preserve"> </w:t>
            </w:r>
            <w:r w:rsidR="005F79B1">
              <w:t xml:space="preserve"> </w:t>
            </w:r>
            <w:r w:rsidR="00DC141D">
              <w:t>12:</w:t>
            </w:r>
            <w:r w:rsidR="00B609F9">
              <w:t>3</w:t>
            </w:r>
            <w:r w:rsidR="00ED3CB1">
              <w:t>1</w:t>
            </w:r>
          </w:p>
        </w:tc>
        <w:tc>
          <w:tcPr>
            <w:tcW w:w="2528" w:type="dxa"/>
          </w:tcPr>
          <w:p w14:paraId="0A37501D" w14:textId="77777777" w:rsidR="009017F3" w:rsidRDefault="009017F3" w:rsidP="008F7618"/>
        </w:tc>
      </w:tr>
      <w:tr w:rsidR="000F6CD0" w14:paraId="5DAB6C7B" w14:textId="77777777" w:rsidTr="00B63220">
        <w:tc>
          <w:tcPr>
            <w:tcW w:w="2612"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4665"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13488" w14:paraId="12B55489" w14:textId="77777777" w:rsidTr="00B63220">
        <w:tc>
          <w:tcPr>
            <w:tcW w:w="2612" w:type="dxa"/>
          </w:tcPr>
          <w:p w14:paraId="15EB67AA" w14:textId="3B6668F5" w:rsidR="00913488" w:rsidRPr="00FA454B" w:rsidRDefault="00913488" w:rsidP="00913488">
            <w:pPr>
              <w:pStyle w:val="ListParagraph"/>
              <w:numPr>
                <w:ilvl w:val="0"/>
                <w:numId w:val="3"/>
              </w:numPr>
              <w:rPr>
                <w:b/>
                <w:sz w:val="24"/>
                <w:szCs w:val="24"/>
              </w:rPr>
            </w:pPr>
            <w:r w:rsidRPr="00FA454B">
              <w:rPr>
                <w:b/>
                <w:sz w:val="24"/>
                <w:szCs w:val="24"/>
              </w:rPr>
              <w:t>Approval of Minutes</w:t>
            </w:r>
          </w:p>
        </w:tc>
        <w:tc>
          <w:tcPr>
            <w:tcW w:w="4665" w:type="dxa"/>
          </w:tcPr>
          <w:p w14:paraId="75EF678D" w14:textId="588125E8" w:rsidR="00913488" w:rsidRDefault="00913488" w:rsidP="00913488"/>
        </w:tc>
        <w:tc>
          <w:tcPr>
            <w:tcW w:w="2528" w:type="dxa"/>
          </w:tcPr>
          <w:p w14:paraId="1C41E98C" w14:textId="63E1DB5E" w:rsidR="00913488" w:rsidRDefault="00913488" w:rsidP="00EA752C">
            <w:r>
              <w:t xml:space="preserve">Motion by </w:t>
            </w:r>
            <w:r w:rsidR="003268BA">
              <w:t xml:space="preserve">R. Bauer </w:t>
            </w:r>
            <w:r w:rsidR="00CC4668">
              <w:t>t</w:t>
            </w:r>
            <w:r>
              <w:t>o approve minutes, second by</w:t>
            </w:r>
            <w:r w:rsidR="00CC4668">
              <w:t xml:space="preserve"> </w:t>
            </w:r>
            <w:r w:rsidR="00EA752C">
              <w:t>D. Clark</w:t>
            </w:r>
            <w:r>
              <w:t>. (</w:t>
            </w:r>
            <w:r w:rsidR="00CC4668">
              <w:t>7</w:t>
            </w:r>
            <w:r w:rsidR="00197293">
              <w:t>-0</w:t>
            </w:r>
            <w:r w:rsidR="00EA752C">
              <w:t>-1</w:t>
            </w:r>
            <w:r>
              <w:t>)</w:t>
            </w:r>
          </w:p>
        </w:tc>
      </w:tr>
      <w:tr w:rsidR="00913488" w14:paraId="41C8F396" w14:textId="77777777" w:rsidTr="00B63220">
        <w:tc>
          <w:tcPr>
            <w:tcW w:w="2612" w:type="dxa"/>
            <w:shd w:val="clear" w:color="auto" w:fill="BDD6EE" w:themeFill="accent1" w:themeFillTint="66"/>
          </w:tcPr>
          <w:p w14:paraId="72A3D3EC" w14:textId="77777777" w:rsidR="00913488" w:rsidRPr="00877C3F" w:rsidRDefault="00913488" w:rsidP="00913488">
            <w:pPr>
              <w:rPr>
                <w:b/>
                <w:sz w:val="24"/>
                <w:szCs w:val="24"/>
              </w:rPr>
            </w:pPr>
          </w:p>
        </w:tc>
        <w:tc>
          <w:tcPr>
            <w:tcW w:w="4665" w:type="dxa"/>
            <w:shd w:val="clear" w:color="auto" w:fill="BDD6EE" w:themeFill="accent1" w:themeFillTint="66"/>
          </w:tcPr>
          <w:p w14:paraId="0D0B940D" w14:textId="77777777" w:rsidR="00913488" w:rsidRDefault="00913488" w:rsidP="00913488"/>
        </w:tc>
        <w:tc>
          <w:tcPr>
            <w:tcW w:w="2528" w:type="dxa"/>
            <w:shd w:val="clear" w:color="auto" w:fill="BDD6EE" w:themeFill="accent1" w:themeFillTint="66"/>
          </w:tcPr>
          <w:p w14:paraId="0E27B00A" w14:textId="77777777" w:rsidR="00913488" w:rsidRDefault="00913488" w:rsidP="00913488"/>
        </w:tc>
      </w:tr>
      <w:tr w:rsidR="00913488" w14:paraId="6AA5EDA5" w14:textId="77777777" w:rsidTr="00B63220">
        <w:tc>
          <w:tcPr>
            <w:tcW w:w="2612" w:type="dxa"/>
          </w:tcPr>
          <w:p w14:paraId="0EE34BC3" w14:textId="3C3EC189" w:rsidR="00913488" w:rsidRPr="009673A6" w:rsidRDefault="00B609F9" w:rsidP="00913488">
            <w:pPr>
              <w:pStyle w:val="ListParagraph"/>
              <w:numPr>
                <w:ilvl w:val="0"/>
                <w:numId w:val="3"/>
              </w:numPr>
              <w:rPr>
                <w:b/>
                <w:bCs/>
                <w:color w:val="000000" w:themeColor="text1"/>
              </w:rPr>
            </w:pPr>
            <w:r>
              <w:rPr>
                <w:b/>
                <w:bCs/>
                <w:sz w:val="24"/>
                <w:szCs w:val="24"/>
              </w:rPr>
              <w:t>Review</w:t>
            </w:r>
            <w:r w:rsidR="0007188C">
              <w:rPr>
                <w:b/>
                <w:bCs/>
                <w:sz w:val="24"/>
                <w:szCs w:val="24"/>
              </w:rPr>
              <w:t xml:space="preserve"> of </w:t>
            </w:r>
            <w:r w:rsidR="00EA752C">
              <w:rPr>
                <w:b/>
                <w:bCs/>
                <w:sz w:val="24"/>
                <w:szCs w:val="24"/>
              </w:rPr>
              <w:t>Automotive Engineering Technology Major</w:t>
            </w:r>
          </w:p>
          <w:p w14:paraId="49CFEFCD" w14:textId="11921EDB" w:rsidR="00913488" w:rsidRPr="008521ED" w:rsidRDefault="00913488" w:rsidP="00913488">
            <w:pPr>
              <w:ind w:left="360"/>
            </w:pPr>
          </w:p>
        </w:tc>
        <w:tc>
          <w:tcPr>
            <w:tcW w:w="4665" w:type="dxa"/>
          </w:tcPr>
          <w:p w14:paraId="15481C69" w14:textId="77777777" w:rsidR="003268BA" w:rsidRDefault="00EA752C" w:rsidP="00AA3C26">
            <w:r>
              <w:t>Randy Peters began by noting that in all of the following proposals he sponsored, the Mathematics pathways are being revised due to accreditation recommendations.  They have all been formally changed to require Calculus (MATH 131).  Additionally the MET 130, introduction to technology course has been revised from 2 credit hours to 3 credit hours in order to incorporate more career readiness requirements.  The department also chose to remove the Powers Systems Course, which was operated by the Mechanical Engineering faculty, which wanted the course to be less automotive.  The faculty also wanted a two-semester sequence of courses for a senior project, with ET 499 added.  Overall there was a reduction of 2 credit hours.</w:t>
            </w:r>
          </w:p>
          <w:p w14:paraId="06E32A68" w14:textId="77777777" w:rsidR="00EA752C" w:rsidRDefault="00EA752C" w:rsidP="00AA3C26"/>
          <w:p w14:paraId="28F0CC7B" w14:textId="77777777" w:rsidR="00EA752C" w:rsidRDefault="00EA752C" w:rsidP="00AA3C26">
            <w:r>
              <w:t>J. Kinne asked for clarification on which was the new course?</w:t>
            </w:r>
          </w:p>
          <w:p w14:paraId="35FD66D7" w14:textId="77777777" w:rsidR="00EA752C" w:rsidRDefault="00EA752C" w:rsidP="00AA3C26"/>
          <w:p w14:paraId="54AB124A" w14:textId="77777777" w:rsidR="00EA752C" w:rsidRDefault="00EA752C" w:rsidP="00AA3C26">
            <w:r>
              <w:t>R. Peters responded that it was ET 499.</w:t>
            </w:r>
          </w:p>
          <w:p w14:paraId="34720440" w14:textId="77777777" w:rsidR="00EA752C" w:rsidRDefault="00EA752C" w:rsidP="00AA3C26"/>
          <w:p w14:paraId="5A126994" w14:textId="77777777" w:rsidR="00EA752C" w:rsidRDefault="00EA752C" w:rsidP="00AA3C26">
            <w:r>
              <w:t xml:space="preserve">J. Kinne asked if anything was known about how many would need prep courses before </w:t>
            </w:r>
            <w:proofErr w:type="gramStart"/>
            <w:r>
              <w:t>calculus?</w:t>
            </w:r>
            <w:proofErr w:type="gramEnd"/>
          </w:p>
          <w:p w14:paraId="5308EF26" w14:textId="77777777" w:rsidR="00EA752C" w:rsidRDefault="00EA752C" w:rsidP="00AA3C26"/>
          <w:p w14:paraId="2AD92159" w14:textId="77777777" w:rsidR="00EA752C" w:rsidRDefault="00EA752C" w:rsidP="00AA3C26">
            <w:r>
              <w:t>R. Peters noted that the numbers are growing smaller as they work with students who wish to enter the STEM fields.  Calculus is not currently required in any of the majors until this revision.</w:t>
            </w:r>
          </w:p>
          <w:p w14:paraId="658C39CE" w14:textId="77777777" w:rsidR="00EA752C" w:rsidRDefault="00EA752C" w:rsidP="00AA3C26"/>
          <w:p w14:paraId="60061E4C" w14:textId="295DDE54" w:rsidR="00EA752C" w:rsidRPr="007B4915" w:rsidRDefault="000B46F4" w:rsidP="000B46F4">
            <w:r>
              <w:t>A Smith pointed out a prerequisite that needed revision.</w:t>
            </w:r>
          </w:p>
        </w:tc>
        <w:tc>
          <w:tcPr>
            <w:tcW w:w="2528" w:type="dxa"/>
          </w:tcPr>
          <w:p w14:paraId="44EAFD9C" w14:textId="3AA75144" w:rsidR="00913488" w:rsidRDefault="00913488" w:rsidP="00913488"/>
        </w:tc>
      </w:tr>
      <w:tr w:rsidR="00913488" w14:paraId="4B94D5A5" w14:textId="77777777" w:rsidTr="00B63220">
        <w:tc>
          <w:tcPr>
            <w:tcW w:w="2612" w:type="dxa"/>
            <w:shd w:val="clear" w:color="auto" w:fill="BDD6EE" w:themeFill="accent1" w:themeFillTint="66"/>
          </w:tcPr>
          <w:p w14:paraId="3DEEC669" w14:textId="77777777" w:rsidR="00913488" w:rsidRDefault="00913488" w:rsidP="00913488">
            <w:pPr>
              <w:rPr>
                <w:rFonts w:ascii="Times New Roman" w:eastAsia="Times New Roman" w:hAnsi="Times New Roman" w:cs="Times New Roman"/>
                <w:color w:val="000000"/>
                <w:sz w:val="24"/>
                <w:szCs w:val="24"/>
              </w:rPr>
            </w:pPr>
          </w:p>
        </w:tc>
        <w:tc>
          <w:tcPr>
            <w:tcW w:w="4665" w:type="dxa"/>
            <w:shd w:val="clear" w:color="auto" w:fill="BDD6EE" w:themeFill="accent1" w:themeFillTint="66"/>
          </w:tcPr>
          <w:p w14:paraId="3656B9AB" w14:textId="77777777" w:rsidR="00913488" w:rsidRPr="00877C3F" w:rsidRDefault="00913488" w:rsidP="00913488">
            <w:pPr>
              <w:rPr>
                <w:b/>
              </w:rPr>
            </w:pPr>
          </w:p>
        </w:tc>
        <w:tc>
          <w:tcPr>
            <w:tcW w:w="2528" w:type="dxa"/>
            <w:shd w:val="clear" w:color="auto" w:fill="BDD6EE" w:themeFill="accent1" w:themeFillTint="66"/>
          </w:tcPr>
          <w:p w14:paraId="45FB0818" w14:textId="77777777" w:rsidR="00913488" w:rsidRDefault="00913488" w:rsidP="00913488"/>
        </w:tc>
      </w:tr>
      <w:tr w:rsidR="00913488" w14:paraId="2D255667" w14:textId="77777777" w:rsidTr="00B63220">
        <w:tc>
          <w:tcPr>
            <w:tcW w:w="2612" w:type="dxa"/>
          </w:tcPr>
          <w:p w14:paraId="4DDBEF00" w14:textId="22FABDF5" w:rsidR="00913488" w:rsidRPr="00913488" w:rsidRDefault="002F4289" w:rsidP="000B46F4">
            <w:pPr>
              <w:pStyle w:val="ListParagraph"/>
              <w:numPr>
                <w:ilvl w:val="0"/>
                <w:numId w:val="3"/>
              </w:numPr>
              <w:rPr>
                <w:b/>
              </w:rPr>
            </w:pPr>
            <w:r>
              <w:rPr>
                <w:b/>
              </w:rPr>
              <w:t>Review</w:t>
            </w:r>
            <w:r w:rsidR="0007188C">
              <w:rPr>
                <w:b/>
              </w:rPr>
              <w:t xml:space="preserve"> of </w:t>
            </w:r>
            <w:r w:rsidR="000B46F4">
              <w:rPr>
                <w:b/>
              </w:rPr>
              <w:t>Civil Engineering</w:t>
            </w:r>
            <w:r w:rsidR="003268BA">
              <w:rPr>
                <w:b/>
              </w:rPr>
              <w:t xml:space="preserve"> Technology M</w:t>
            </w:r>
            <w:r w:rsidR="000B46F4">
              <w:rPr>
                <w:b/>
              </w:rPr>
              <w:t>ajo</w:t>
            </w:r>
            <w:r w:rsidR="003268BA">
              <w:rPr>
                <w:b/>
              </w:rPr>
              <w:t>r</w:t>
            </w:r>
          </w:p>
        </w:tc>
        <w:tc>
          <w:tcPr>
            <w:tcW w:w="4665" w:type="dxa"/>
          </w:tcPr>
          <w:p w14:paraId="4DEDE145" w14:textId="77777777" w:rsidR="00C44FF3" w:rsidRDefault="000B46F4" w:rsidP="000B46F4">
            <w:pPr>
              <w:rPr>
                <w:rFonts w:ascii="Calibri" w:eastAsia="Calibri" w:hAnsi="Calibri" w:cs="Calibri"/>
                <w:sz w:val="24"/>
                <w:szCs w:val="24"/>
              </w:rPr>
            </w:pPr>
            <w:r>
              <w:rPr>
                <w:rFonts w:ascii="Calibri" w:eastAsia="Calibri" w:hAnsi="Calibri" w:cs="Calibri"/>
                <w:sz w:val="24"/>
                <w:szCs w:val="24"/>
              </w:rPr>
              <w:t xml:space="preserve">R. Peters again mentioned the mathematics and MET alterations.  In response to accreditors, they have also added a second class in soils, so they added a soil mechanics class.  In adding this they were cognizant of having to keep credit hours down, so they removed a fluid powers class and lab.  They also installed a two-semester sequence for a senior project.  They also split an existing course into two separate courses: Structural Analysis and Concrete Design.  They then removed one course out of an elective choice sphere.  The former CNST 111 was </w:t>
            </w:r>
            <w:proofErr w:type="spellStart"/>
            <w:r>
              <w:rPr>
                <w:rFonts w:ascii="Calibri" w:eastAsia="Calibri" w:hAnsi="Calibri" w:cs="Calibri"/>
                <w:sz w:val="24"/>
                <w:szCs w:val="24"/>
              </w:rPr>
              <w:t>redesignated</w:t>
            </w:r>
            <w:proofErr w:type="spellEnd"/>
            <w:r>
              <w:rPr>
                <w:rFonts w:ascii="Calibri" w:eastAsia="Calibri" w:hAnsi="Calibri" w:cs="Calibri"/>
                <w:sz w:val="24"/>
                <w:szCs w:val="24"/>
              </w:rPr>
              <w:t xml:space="preserve"> CNST 118, and they removed CNST 201 to pave the way for another removal, that of Engineering Analysis.  He stated that at 73 credit hours, the department was doing the best that they could to keep down the total.  This major needed statistics, so added MATH 241.</w:t>
            </w:r>
          </w:p>
          <w:p w14:paraId="10E0F77E" w14:textId="77777777" w:rsidR="000B46F4" w:rsidRDefault="000B46F4" w:rsidP="000B46F4">
            <w:pPr>
              <w:rPr>
                <w:rFonts w:ascii="Calibri" w:eastAsia="Calibri" w:hAnsi="Calibri" w:cs="Calibri"/>
                <w:sz w:val="24"/>
                <w:szCs w:val="24"/>
              </w:rPr>
            </w:pPr>
          </w:p>
          <w:p w14:paraId="1AEEE42E" w14:textId="77777777" w:rsidR="000B46F4" w:rsidRDefault="000B46F4" w:rsidP="000B46F4">
            <w:pPr>
              <w:rPr>
                <w:rFonts w:ascii="Calibri" w:eastAsia="Calibri" w:hAnsi="Calibri" w:cs="Calibri"/>
                <w:sz w:val="24"/>
                <w:szCs w:val="24"/>
              </w:rPr>
            </w:pPr>
            <w:r>
              <w:rPr>
                <w:rFonts w:ascii="Calibri" w:eastAsia="Calibri" w:hAnsi="Calibri" w:cs="Calibri"/>
                <w:sz w:val="24"/>
                <w:szCs w:val="24"/>
              </w:rPr>
              <w:t xml:space="preserve">J. Kinne asked which classes were </w:t>
            </w:r>
            <w:proofErr w:type="gramStart"/>
            <w:r>
              <w:rPr>
                <w:rFonts w:ascii="Calibri" w:eastAsia="Calibri" w:hAnsi="Calibri" w:cs="Calibri"/>
                <w:sz w:val="24"/>
                <w:szCs w:val="24"/>
              </w:rPr>
              <w:t>new?</w:t>
            </w:r>
            <w:proofErr w:type="gramEnd"/>
          </w:p>
          <w:p w14:paraId="7A50D77A" w14:textId="77777777" w:rsidR="000B46F4" w:rsidRDefault="000B46F4" w:rsidP="000B46F4">
            <w:pPr>
              <w:rPr>
                <w:rFonts w:ascii="Calibri" w:eastAsia="Calibri" w:hAnsi="Calibri" w:cs="Calibri"/>
                <w:sz w:val="24"/>
                <w:szCs w:val="24"/>
              </w:rPr>
            </w:pPr>
          </w:p>
          <w:p w14:paraId="3461D779" w14:textId="484BB9BC" w:rsidR="000B46F4" w:rsidRPr="00FA454B" w:rsidRDefault="000B46F4" w:rsidP="000B46F4">
            <w:pPr>
              <w:rPr>
                <w:rFonts w:ascii="Calibri" w:eastAsia="Calibri" w:hAnsi="Calibri" w:cs="Calibri"/>
                <w:sz w:val="24"/>
                <w:szCs w:val="24"/>
              </w:rPr>
            </w:pPr>
            <w:r>
              <w:rPr>
                <w:rFonts w:ascii="Calibri" w:eastAsia="Calibri" w:hAnsi="Calibri" w:cs="Calibri"/>
                <w:sz w:val="24"/>
                <w:szCs w:val="24"/>
              </w:rPr>
              <w:t>R. Peters stated ENGR 220, 423 and 427, the latter two split from 410.</w:t>
            </w:r>
          </w:p>
        </w:tc>
        <w:tc>
          <w:tcPr>
            <w:tcW w:w="2528" w:type="dxa"/>
          </w:tcPr>
          <w:p w14:paraId="3CF2D8B6" w14:textId="6183A6AB" w:rsidR="00913488" w:rsidRDefault="00913488" w:rsidP="00913488"/>
        </w:tc>
      </w:tr>
      <w:tr w:rsidR="00913488" w14:paraId="06BD34BA" w14:textId="77777777" w:rsidTr="00B63220">
        <w:tc>
          <w:tcPr>
            <w:tcW w:w="2612" w:type="dxa"/>
            <w:shd w:val="clear" w:color="auto" w:fill="BDD6EE" w:themeFill="accent1" w:themeFillTint="66"/>
          </w:tcPr>
          <w:p w14:paraId="3E977702" w14:textId="77777777" w:rsidR="00913488" w:rsidRPr="00913488" w:rsidRDefault="00913488" w:rsidP="00913488">
            <w:pPr>
              <w:rPr>
                <w:b/>
                <w:sz w:val="24"/>
                <w:szCs w:val="24"/>
              </w:rPr>
            </w:pPr>
          </w:p>
        </w:tc>
        <w:tc>
          <w:tcPr>
            <w:tcW w:w="4665" w:type="dxa"/>
            <w:shd w:val="clear" w:color="auto" w:fill="BDD6EE" w:themeFill="accent1" w:themeFillTint="66"/>
          </w:tcPr>
          <w:p w14:paraId="53BD6191" w14:textId="77777777" w:rsidR="00913488" w:rsidRPr="00913488" w:rsidRDefault="00913488" w:rsidP="00913488">
            <w:pPr>
              <w:rPr>
                <w:b/>
                <w:sz w:val="24"/>
                <w:szCs w:val="24"/>
              </w:rPr>
            </w:pPr>
          </w:p>
        </w:tc>
        <w:tc>
          <w:tcPr>
            <w:tcW w:w="2528" w:type="dxa"/>
            <w:shd w:val="clear" w:color="auto" w:fill="BDD6EE" w:themeFill="accent1" w:themeFillTint="66"/>
          </w:tcPr>
          <w:p w14:paraId="2354C95A" w14:textId="77777777" w:rsidR="00913488" w:rsidRPr="00913488" w:rsidRDefault="00913488" w:rsidP="00913488">
            <w:pPr>
              <w:rPr>
                <w:b/>
                <w:sz w:val="24"/>
                <w:szCs w:val="24"/>
              </w:rPr>
            </w:pPr>
          </w:p>
        </w:tc>
      </w:tr>
      <w:tr w:rsidR="00EF68B8" w14:paraId="26FCC3A4" w14:textId="77777777" w:rsidTr="00B63220">
        <w:tc>
          <w:tcPr>
            <w:tcW w:w="2612" w:type="dxa"/>
          </w:tcPr>
          <w:p w14:paraId="7639ACF8" w14:textId="455D45BF" w:rsidR="00EF68B8" w:rsidRPr="1A074E58" w:rsidRDefault="005403C7" w:rsidP="000B46F4">
            <w:pPr>
              <w:pStyle w:val="ListParagraph"/>
              <w:numPr>
                <w:ilvl w:val="0"/>
                <w:numId w:val="3"/>
              </w:numPr>
              <w:rPr>
                <w:b/>
                <w:bCs/>
                <w:sz w:val="24"/>
                <w:szCs w:val="24"/>
              </w:rPr>
            </w:pPr>
            <w:r>
              <w:rPr>
                <w:b/>
                <w:bCs/>
                <w:sz w:val="24"/>
                <w:szCs w:val="24"/>
              </w:rPr>
              <w:t xml:space="preserve">Review of </w:t>
            </w:r>
            <w:r w:rsidR="000B46F4">
              <w:rPr>
                <w:b/>
                <w:bCs/>
                <w:sz w:val="24"/>
                <w:szCs w:val="24"/>
              </w:rPr>
              <w:t>Engineering Program</w:t>
            </w:r>
            <w:r w:rsidR="002F4289">
              <w:rPr>
                <w:b/>
                <w:bCs/>
                <w:sz w:val="24"/>
                <w:szCs w:val="24"/>
              </w:rPr>
              <w:t xml:space="preserve"> </w:t>
            </w:r>
          </w:p>
        </w:tc>
        <w:tc>
          <w:tcPr>
            <w:tcW w:w="4665" w:type="dxa"/>
          </w:tcPr>
          <w:p w14:paraId="380BFF45" w14:textId="77777777" w:rsidR="00A66D6D" w:rsidRDefault="000B46F4" w:rsidP="00C44FF3">
            <w:r>
              <w:t>R. Peters stated that this new program was in its 4</w:t>
            </w:r>
            <w:r w:rsidRPr="000B46F4">
              <w:rPr>
                <w:vertAlign w:val="superscript"/>
              </w:rPr>
              <w:t>th</w:t>
            </w:r>
            <w:r>
              <w:t xml:space="preserve"> year and that they had a graduate with two more this spring.  Some 260 students have been admitted to the program majors.  They have applied for accreditation and will go up this Fall, but changes were needed as accreditation requirements have altered since the program originated.  One change is the addition of ENG 235, Circuit Analysis, requiring a pre-requisite of Calculus and PHY 116.  They needed to change </w:t>
            </w:r>
            <w:r>
              <w:lastRenderedPageBreak/>
              <w:t>the wording that SAFETY 341 met FS Qualitative Literacy, now that MATH 241 included.  The proposal also changes some prefixes (TMG to AT), which will look better for accreditation.  The faculty added a two-course senior project sequence (explained in other program reviews today).  We took out two courses in some concentrations (CBET 410 and ENG 423) and added a solid modeling class.  Even though majors within this program are large, the properly prepared student may complete them within the 120 credit hours.</w:t>
            </w:r>
          </w:p>
          <w:p w14:paraId="006D4857" w14:textId="77777777" w:rsidR="000B46F4" w:rsidRDefault="000B46F4" w:rsidP="00C44FF3"/>
          <w:p w14:paraId="05DBE920" w14:textId="77777777" w:rsidR="000B46F4" w:rsidRDefault="000B46F4" w:rsidP="00C44FF3">
            <w:r>
              <w:t xml:space="preserve">J. Kinne asked whether the faculty will have enough faculty with doctoral </w:t>
            </w:r>
            <w:proofErr w:type="gramStart"/>
            <w:r>
              <w:t>degrees?</w:t>
            </w:r>
            <w:proofErr w:type="gramEnd"/>
          </w:p>
          <w:p w14:paraId="544E129E" w14:textId="77777777" w:rsidR="000B46F4" w:rsidRDefault="000B46F4" w:rsidP="00C44FF3"/>
          <w:p w14:paraId="3BE3D148" w14:textId="77777777" w:rsidR="000B46F4" w:rsidRDefault="000B46F4" w:rsidP="00C44FF3">
            <w:r>
              <w:t>R. Peters responded that it would.  Seven are on the faculty now with doctoral degrees.</w:t>
            </w:r>
          </w:p>
          <w:p w14:paraId="19ABE962" w14:textId="77777777" w:rsidR="000B46F4" w:rsidRDefault="000B46F4" w:rsidP="00C44FF3"/>
          <w:p w14:paraId="3CF588A1" w14:textId="77777777" w:rsidR="000B46F4" w:rsidRDefault="000B46F4" w:rsidP="00C44FF3">
            <w:r>
              <w:t>B. Yousif asked whether they needed MATH 241, as R. Peters likely did not know that PHY 116 has been approved for FS Quantitative Literacy.</w:t>
            </w:r>
          </w:p>
          <w:p w14:paraId="0E472887" w14:textId="77777777" w:rsidR="000B46F4" w:rsidRDefault="000B46F4" w:rsidP="00C44FF3"/>
          <w:p w14:paraId="00727C71" w14:textId="77777777" w:rsidR="000B46F4" w:rsidRDefault="000B46F4" w:rsidP="00C44FF3">
            <w:r>
              <w:t>R. Peters noted that he was not aware of that fact, so yet it might alter the program.</w:t>
            </w:r>
          </w:p>
          <w:p w14:paraId="3F3AB8E3" w14:textId="77777777" w:rsidR="000B46F4" w:rsidRDefault="000B46F4" w:rsidP="00C44FF3"/>
          <w:p w14:paraId="4C164740" w14:textId="77777777" w:rsidR="000B46F4" w:rsidRDefault="000B46F4" w:rsidP="00C44FF3">
            <w:r>
              <w:t xml:space="preserve">J. Kinne asked about enrollment.  </w:t>
            </w:r>
          </w:p>
          <w:p w14:paraId="7224F629" w14:textId="77777777" w:rsidR="000B46F4" w:rsidRDefault="000B46F4" w:rsidP="00C44FF3"/>
          <w:p w14:paraId="6CE014D6" w14:textId="77777777" w:rsidR="000B46F4" w:rsidRDefault="000B46F4" w:rsidP="00C44FF3">
            <w:r>
              <w:t>R. Peters answered that throughout all engineering programs, there are over 500 students.</w:t>
            </w:r>
          </w:p>
          <w:p w14:paraId="023A11B2" w14:textId="77777777" w:rsidR="000B46F4" w:rsidRDefault="000B46F4" w:rsidP="00C44FF3"/>
          <w:p w14:paraId="3FA86366" w14:textId="77777777" w:rsidR="000B46F4" w:rsidRDefault="000B46F4" w:rsidP="00C44FF3">
            <w:r>
              <w:t>J. Kinne also asked how not making the catalog cutoff date might impact accreditation.</w:t>
            </w:r>
          </w:p>
          <w:p w14:paraId="47679E67" w14:textId="77777777" w:rsidR="000B46F4" w:rsidRDefault="000B46F4" w:rsidP="00C44FF3"/>
          <w:p w14:paraId="1DAD9909" w14:textId="223B8BA3" w:rsidR="000B46F4" w:rsidRPr="006A4890" w:rsidRDefault="000B46F4" w:rsidP="00C44FF3">
            <w:r>
              <w:t>R. Peters noted that if approved they can at least share with accreditors the fact that it would be eventually.</w:t>
            </w:r>
          </w:p>
        </w:tc>
        <w:tc>
          <w:tcPr>
            <w:tcW w:w="2528" w:type="dxa"/>
          </w:tcPr>
          <w:p w14:paraId="27D4BA53" w14:textId="59672E49" w:rsidR="00EF68B8" w:rsidRDefault="00EF68B8" w:rsidP="00EF68B8"/>
        </w:tc>
      </w:tr>
      <w:tr w:rsidR="00EF68B8" w14:paraId="1016A057" w14:textId="77777777" w:rsidTr="00B63220">
        <w:tc>
          <w:tcPr>
            <w:tcW w:w="2612" w:type="dxa"/>
            <w:shd w:val="clear" w:color="auto" w:fill="BDD6EE" w:themeFill="accent1" w:themeFillTint="66"/>
          </w:tcPr>
          <w:p w14:paraId="3487397B" w14:textId="77777777" w:rsidR="00EF68B8" w:rsidRDefault="00EF68B8" w:rsidP="00EF68B8">
            <w:pPr>
              <w:pStyle w:val="ListParagraph"/>
              <w:rPr>
                <w:b/>
                <w:bCs/>
                <w:sz w:val="24"/>
                <w:szCs w:val="24"/>
              </w:rPr>
            </w:pPr>
          </w:p>
        </w:tc>
        <w:tc>
          <w:tcPr>
            <w:tcW w:w="4665" w:type="dxa"/>
            <w:shd w:val="clear" w:color="auto" w:fill="BDD6EE" w:themeFill="accent1" w:themeFillTint="66"/>
          </w:tcPr>
          <w:p w14:paraId="42B50384" w14:textId="77777777" w:rsidR="00EF68B8" w:rsidRPr="006A4890" w:rsidRDefault="00EF68B8" w:rsidP="00EF68B8"/>
        </w:tc>
        <w:tc>
          <w:tcPr>
            <w:tcW w:w="2528" w:type="dxa"/>
            <w:shd w:val="clear" w:color="auto" w:fill="BDD6EE" w:themeFill="accent1" w:themeFillTint="66"/>
          </w:tcPr>
          <w:p w14:paraId="3554C502" w14:textId="77777777" w:rsidR="00EF68B8" w:rsidRDefault="00EF68B8" w:rsidP="00EF68B8"/>
        </w:tc>
      </w:tr>
      <w:tr w:rsidR="00EF68B8" w14:paraId="6840E6BF" w14:textId="77777777" w:rsidTr="00B63220">
        <w:tc>
          <w:tcPr>
            <w:tcW w:w="2612" w:type="dxa"/>
          </w:tcPr>
          <w:p w14:paraId="5EBB7A54" w14:textId="60F539B7" w:rsidR="00EF68B8" w:rsidRDefault="00A66D6D" w:rsidP="000B46F4">
            <w:pPr>
              <w:pStyle w:val="ListParagraph"/>
              <w:numPr>
                <w:ilvl w:val="0"/>
                <w:numId w:val="3"/>
              </w:numPr>
              <w:rPr>
                <w:b/>
                <w:bCs/>
                <w:sz w:val="24"/>
                <w:szCs w:val="24"/>
              </w:rPr>
            </w:pPr>
            <w:r>
              <w:rPr>
                <w:b/>
                <w:bCs/>
                <w:sz w:val="24"/>
                <w:szCs w:val="24"/>
              </w:rPr>
              <w:t xml:space="preserve">Review of </w:t>
            </w:r>
            <w:r w:rsidR="000B46F4">
              <w:rPr>
                <w:b/>
                <w:bCs/>
                <w:sz w:val="24"/>
                <w:szCs w:val="24"/>
              </w:rPr>
              <w:t>Engineering Technology Major</w:t>
            </w:r>
          </w:p>
        </w:tc>
        <w:tc>
          <w:tcPr>
            <w:tcW w:w="4665" w:type="dxa"/>
          </w:tcPr>
          <w:p w14:paraId="5950CAF8" w14:textId="3800CC4F" w:rsidR="002A610D" w:rsidRDefault="000B46F4" w:rsidP="00EF68B8">
            <w:r>
              <w:t xml:space="preserve">R. Peters noted that the faculty removed 5 different concentrations that overlapped with other existing programs.  In making the major distance deliverable, they also had to make sure it met accreditation standards.  They still must work with the Chemistry Department.  Part of the changes involve the Mathematics addition of Calculus, already noted.  Retooled entire </w:t>
            </w:r>
            <w:r>
              <w:lastRenderedPageBreak/>
              <w:t>program to meet accreditation standards.  The program was not accredited before.</w:t>
            </w:r>
          </w:p>
        </w:tc>
        <w:tc>
          <w:tcPr>
            <w:tcW w:w="2528" w:type="dxa"/>
          </w:tcPr>
          <w:p w14:paraId="0B877FDD" w14:textId="5089595C" w:rsidR="00B63220" w:rsidRDefault="00B63220" w:rsidP="00B63220"/>
        </w:tc>
      </w:tr>
      <w:tr w:rsidR="005361D0" w14:paraId="0D7B0697" w14:textId="77777777" w:rsidTr="00B63220">
        <w:tc>
          <w:tcPr>
            <w:tcW w:w="2612" w:type="dxa"/>
            <w:shd w:val="clear" w:color="auto" w:fill="9CC2E5" w:themeFill="accent1" w:themeFillTint="99"/>
          </w:tcPr>
          <w:p w14:paraId="4B7694B4" w14:textId="77777777" w:rsidR="005361D0" w:rsidRDefault="005361D0" w:rsidP="005361D0">
            <w:pPr>
              <w:pStyle w:val="ListParagraph"/>
              <w:rPr>
                <w:b/>
                <w:bCs/>
                <w:sz w:val="24"/>
                <w:szCs w:val="24"/>
              </w:rPr>
            </w:pPr>
          </w:p>
        </w:tc>
        <w:tc>
          <w:tcPr>
            <w:tcW w:w="4665" w:type="dxa"/>
            <w:shd w:val="clear" w:color="auto" w:fill="9CC2E5" w:themeFill="accent1" w:themeFillTint="99"/>
          </w:tcPr>
          <w:p w14:paraId="1F3394E9" w14:textId="77777777" w:rsidR="005361D0" w:rsidRDefault="005361D0" w:rsidP="005361D0"/>
        </w:tc>
        <w:tc>
          <w:tcPr>
            <w:tcW w:w="2528" w:type="dxa"/>
            <w:shd w:val="clear" w:color="auto" w:fill="9CC2E5" w:themeFill="accent1" w:themeFillTint="99"/>
          </w:tcPr>
          <w:p w14:paraId="18E4681E" w14:textId="77777777" w:rsidR="005361D0" w:rsidRDefault="005361D0" w:rsidP="005361D0"/>
        </w:tc>
      </w:tr>
      <w:tr w:rsidR="000B46F4" w14:paraId="3603E9CC" w14:textId="77777777" w:rsidTr="000B46F4">
        <w:tc>
          <w:tcPr>
            <w:tcW w:w="2612" w:type="dxa"/>
            <w:shd w:val="clear" w:color="auto" w:fill="FFFFFF" w:themeFill="background1"/>
          </w:tcPr>
          <w:p w14:paraId="1FB2C38D" w14:textId="2371F73C" w:rsidR="000B46F4" w:rsidRPr="000B46F4" w:rsidRDefault="000B46F4" w:rsidP="000B46F4">
            <w:pPr>
              <w:pStyle w:val="ListParagraph"/>
              <w:numPr>
                <w:ilvl w:val="0"/>
                <w:numId w:val="3"/>
              </w:numPr>
              <w:jc w:val="both"/>
              <w:rPr>
                <w:b/>
                <w:bCs/>
                <w:sz w:val="24"/>
                <w:szCs w:val="24"/>
              </w:rPr>
            </w:pPr>
            <w:r>
              <w:rPr>
                <w:b/>
                <w:bCs/>
                <w:sz w:val="24"/>
                <w:szCs w:val="24"/>
              </w:rPr>
              <w:t>Review of the Engineering Technology Management Program</w:t>
            </w:r>
          </w:p>
        </w:tc>
        <w:tc>
          <w:tcPr>
            <w:tcW w:w="4665" w:type="dxa"/>
            <w:shd w:val="clear" w:color="auto" w:fill="FFFFFF" w:themeFill="background1"/>
          </w:tcPr>
          <w:p w14:paraId="01973C64" w14:textId="77777777" w:rsidR="000B46F4" w:rsidRDefault="000B46F4" w:rsidP="000B46F4">
            <w:r>
              <w:t xml:space="preserve">R. Peters noted that his program is geared toward those arriving with an </w:t>
            </w:r>
            <w:proofErr w:type="spellStart"/>
            <w:r>
              <w:t>Associates</w:t>
            </w:r>
            <w:proofErr w:type="spellEnd"/>
            <w:r>
              <w:t xml:space="preserve"> Degree, most coming with an AS.  All the previously discussed changes (as with Math requirements and Engineering program changes apply), but alterations allow for those arriving with the AS or AA.</w:t>
            </w:r>
          </w:p>
          <w:p w14:paraId="3989732B" w14:textId="77777777" w:rsidR="000B46F4" w:rsidRDefault="000B46F4" w:rsidP="000B46F4"/>
          <w:p w14:paraId="10FCB6E3" w14:textId="77777777" w:rsidR="000B46F4" w:rsidRDefault="000B46F4" w:rsidP="000B46F4">
            <w:r>
              <w:t xml:space="preserve">B. Yousif asked whether they had talked to Chemistry about </w:t>
            </w:r>
            <w:proofErr w:type="gramStart"/>
            <w:r>
              <w:t>capacity?</w:t>
            </w:r>
            <w:proofErr w:type="gramEnd"/>
          </w:p>
          <w:p w14:paraId="1C7597BA" w14:textId="77777777" w:rsidR="000B46F4" w:rsidRDefault="000B46F4" w:rsidP="000B46F4"/>
          <w:p w14:paraId="2804B24B" w14:textId="34F77F05" w:rsidR="000B46F4" w:rsidRDefault="000B46F4" w:rsidP="000B46F4">
            <w:r>
              <w:t>R. Peters responded that CHEM 100 does have the needed seats.</w:t>
            </w:r>
          </w:p>
        </w:tc>
        <w:tc>
          <w:tcPr>
            <w:tcW w:w="2528" w:type="dxa"/>
            <w:shd w:val="clear" w:color="auto" w:fill="FFFFFF" w:themeFill="background1"/>
          </w:tcPr>
          <w:p w14:paraId="5738B851" w14:textId="77777777" w:rsidR="000B46F4" w:rsidRDefault="000B46F4" w:rsidP="005361D0"/>
        </w:tc>
      </w:tr>
      <w:tr w:rsidR="000B46F4" w14:paraId="30A24B54" w14:textId="77777777" w:rsidTr="00B63220">
        <w:tc>
          <w:tcPr>
            <w:tcW w:w="2612" w:type="dxa"/>
            <w:shd w:val="clear" w:color="auto" w:fill="9CC2E5" w:themeFill="accent1" w:themeFillTint="99"/>
          </w:tcPr>
          <w:p w14:paraId="4DD39CE5" w14:textId="77777777" w:rsidR="000B46F4" w:rsidRDefault="000B46F4" w:rsidP="005361D0">
            <w:pPr>
              <w:pStyle w:val="ListParagraph"/>
              <w:rPr>
                <w:b/>
                <w:bCs/>
                <w:sz w:val="24"/>
                <w:szCs w:val="24"/>
              </w:rPr>
            </w:pPr>
          </w:p>
        </w:tc>
        <w:tc>
          <w:tcPr>
            <w:tcW w:w="4665" w:type="dxa"/>
            <w:shd w:val="clear" w:color="auto" w:fill="9CC2E5" w:themeFill="accent1" w:themeFillTint="99"/>
          </w:tcPr>
          <w:p w14:paraId="4A36D4DB" w14:textId="77777777" w:rsidR="000B46F4" w:rsidRDefault="000B46F4" w:rsidP="005361D0"/>
        </w:tc>
        <w:tc>
          <w:tcPr>
            <w:tcW w:w="2528" w:type="dxa"/>
            <w:shd w:val="clear" w:color="auto" w:fill="9CC2E5" w:themeFill="accent1" w:themeFillTint="99"/>
          </w:tcPr>
          <w:p w14:paraId="3490C354" w14:textId="77777777" w:rsidR="000B46F4" w:rsidRDefault="000B46F4" w:rsidP="005361D0"/>
        </w:tc>
      </w:tr>
      <w:tr w:rsidR="000B46F4" w14:paraId="62B0C000" w14:textId="77777777" w:rsidTr="000B46F4">
        <w:tc>
          <w:tcPr>
            <w:tcW w:w="2612" w:type="dxa"/>
            <w:shd w:val="clear" w:color="auto" w:fill="FFFFFF" w:themeFill="background1"/>
          </w:tcPr>
          <w:p w14:paraId="25DF09AF" w14:textId="703A3B08" w:rsidR="000B46F4" w:rsidRPr="000B46F4" w:rsidRDefault="000B46F4" w:rsidP="000B46F4">
            <w:pPr>
              <w:pStyle w:val="ListParagraph"/>
              <w:numPr>
                <w:ilvl w:val="0"/>
                <w:numId w:val="3"/>
              </w:numPr>
              <w:rPr>
                <w:b/>
                <w:bCs/>
                <w:sz w:val="24"/>
                <w:szCs w:val="24"/>
              </w:rPr>
            </w:pPr>
            <w:r>
              <w:rPr>
                <w:b/>
                <w:bCs/>
                <w:sz w:val="24"/>
                <w:szCs w:val="24"/>
              </w:rPr>
              <w:t>Review of Manufacturing Engineering Technology Major</w:t>
            </w:r>
          </w:p>
        </w:tc>
        <w:tc>
          <w:tcPr>
            <w:tcW w:w="4665" w:type="dxa"/>
            <w:shd w:val="clear" w:color="auto" w:fill="FFFFFF" w:themeFill="background1"/>
          </w:tcPr>
          <w:p w14:paraId="788355CA" w14:textId="620281DA" w:rsidR="000B46F4" w:rsidRDefault="00776CFF" w:rsidP="005361D0">
            <w:r>
              <w:t>R. Peters noted the changes involved the Math pathway noted previously and the change in the Introduction to Engineering from 2 to 3 credits.</w:t>
            </w:r>
          </w:p>
        </w:tc>
        <w:tc>
          <w:tcPr>
            <w:tcW w:w="2528" w:type="dxa"/>
            <w:shd w:val="clear" w:color="auto" w:fill="FFFFFF" w:themeFill="background1"/>
          </w:tcPr>
          <w:p w14:paraId="617F10B4" w14:textId="77777777" w:rsidR="000B46F4" w:rsidRDefault="000B46F4" w:rsidP="005361D0"/>
        </w:tc>
      </w:tr>
      <w:tr w:rsidR="000B46F4" w14:paraId="1A6428BE" w14:textId="77777777" w:rsidTr="00B63220">
        <w:tc>
          <w:tcPr>
            <w:tcW w:w="2612" w:type="dxa"/>
            <w:shd w:val="clear" w:color="auto" w:fill="9CC2E5" w:themeFill="accent1" w:themeFillTint="99"/>
          </w:tcPr>
          <w:p w14:paraId="66A45709" w14:textId="77777777" w:rsidR="000B46F4" w:rsidRDefault="000B46F4" w:rsidP="005361D0">
            <w:pPr>
              <w:pStyle w:val="ListParagraph"/>
              <w:rPr>
                <w:b/>
                <w:bCs/>
                <w:sz w:val="24"/>
                <w:szCs w:val="24"/>
              </w:rPr>
            </w:pPr>
          </w:p>
        </w:tc>
        <w:tc>
          <w:tcPr>
            <w:tcW w:w="4665" w:type="dxa"/>
            <w:shd w:val="clear" w:color="auto" w:fill="9CC2E5" w:themeFill="accent1" w:themeFillTint="99"/>
          </w:tcPr>
          <w:p w14:paraId="49ABDBE5" w14:textId="77777777" w:rsidR="000B46F4" w:rsidRDefault="000B46F4" w:rsidP="005361D0"/>
        </w:tc>
        <w:tc>
          <w:tcPr>
            <w:tcW w:w="2528" w:type="dxa"/>
            <w:shd w:val="clear" w:color="auto" w:fill="9CC2E5" w:themeFill="accent1" w:themeFillTint="99"/>
          </w:tcPr>
          <w:p w14:paraId="611FC20C" w14:textId="77777777" w:rsidR="000B46F4" w:rsidRDefault="000B46F4" w:rsidP="005361D0"/>
        </w:tc>
      </w:tr>
      <w:tr w:rsidR="000B46F4" w14:paraId="6FED54AA" w14:textId="77777777" w:rsidTr="000B46F4">
        <w:tc>
          <w:tcPr>
            <w:tcW w:w="2612" w:type="dxa"/>
            <w:shd w:val="clear" w:color="auto" w:fill="FFFFFF" w:themeFill="background1"/>
          </w:tcPr>
          <w:p w14:paraId="74EE51FC" w14:textId="54572F4B" w:rsidR="000B46F4" w:rsidRPr="000B46F4" w:rsidRDefault="000B46F4" w:rsidP="000B46F4">
            <w:pPr>
              <w:pStyle w:val="ListParagraph"/>
              <w:numPr>
                <w:ilvl w:val="0"/>
                <w:numId w:val="3"/>
              </w:numPr>
              <w:rPr>
                <w:b/>
                <w:bCs/>
                <w:sz w:val="24"/>
                <w:szCs w:val="24"/>
              </w:rPr>
            </w:pPr>
            <w:r>
              <w:rPr>
                <w:b/>
                <w:bCs/>
                <w:sz w:val="24"/>
                <w:szCs w:val="24"/>
              </w:rPr>
              <w:t>Review</w:t>
            </w:r>
            <w:r w:rsidR="00776CFF">
              <w:rPr>
                <w:b/>
                <w:bCs/>
                <w:sz w:val="24"/>
                <w:szCs w:val="24"/>
              </w:rPr>
              <w:t xml:space="preserve"> of Mechanical Engineering Tech</w:t>
            </w:r>
            <w:r>
              <w:rPr>
                <w:b/>
                <w:bCs/>
                <w:sz w:val="24"/>
                <w:szCs w:val="24"/>
              </w:rPr>
              <w:t>nology Major</w:t>
            </w:r>
          </w:p>
        </w:tc>
        <w:tc>
          <w:tcPr>
            <w:tcW w:w="4665" w:type="dxa"/>
            <w:shd w:val="clear" w:color="auto" w:fill="FFFFFF" w:themeFill="background1"/>
          </w:tcPr>
          <w:p w14:paraId="75CC1E17" w14:textId="627EAC4D" w:rsidR="000B46F4" w:rsidRDefault="00776CFF" w:rsidP="005361D0">
            <w:r>
              <w:t xml:space="preserve">R. Peters opened by noting that this was the current “flagship” major of the engineering program with 200+ majors alone.  The faculty elected to alter the CAD courses, making a former elective into a requirement.  They also condensed MET 203 and 403, into a single Solid Modeling class, MET 303.  </w:t>
            </w:r>
          </w:p>
        </w:tc>
        <w:tc>
          <w:tcPr>
            <w:tcW w:w="2528" w:type="dxa"/>
            <w:shd w:val="clear" w:color="auto" w:fill="FFFFFF" w:themeFill="background1"/>
          </w:tcPr>
          <w:p w14:paraId="32AB47C6" w14:textId="77777777" w:rsidR="000B46F4" w:rsidRDefault="000B46F4" w:rsidP="005361D0"/>
        </w:tc>
      </w:tr>
      <w:tr w:rsidR="000B46F4" w14:paraId="3AC69066" w14:textId="77777777" w:rsidTr="00B63220">
        <w:tc>
          <w:tcPr>
            <w:tcW w:w="2612" w:type="dxa"/>
            <w:shd w:val="clear" w:color="auto" w:fill="9CC2E5" w:themeFill="accent1" w:themeFillTint="99"/>
          </w:tcPr>
          <w:p w14:paraId="23D97EFF" w14:textId="77777777" w:rsidR="000B46F4" w:rsidRDefault="000B46F4" w:rsidP="005361D0">
            <w:pPr>
              <w:pStyle w:val="ListParagraph"/>
              <w:rPr>
                <w:b/>
                <w:bCs/>
                <w:sz w:val="24"/>
                <w:szCs w:val="24"/>
              </w:rPr>
            </w:pPr>
          </w:p>
        </w:tc>
        <w:tc>
          <w:tcPr>
            <w:tcW w:w="4665" w:type="dxa"/>
            <w:shd w:val="clear" w:color="auto" w:fill="9CC2E5" w:themeFill="accent1" w:themeFillTint="99"/>
          </w:tcPr>
          <w:p w14:paraId="69E9B881" w14:textId="77777777" w:rsidR="000B46F4" w:rsidRDefault="000B46F4" w:rsidP="005361D0"/>
        </w:tc>
        <w:tc>
          <w:tcPr>
            <w:tcW w:w="2528" w:type="dxa"/>
            <w:shd w:val="clear" w:color="auto" w:fill="9CC2E5" w:themeFill="accent1" w:themeFillTint="99"/>
          </w:tcPr>
          <w:p w14:paraId="46580BB9" w14:textId="77777777" w:rsidR="000B46F4" w:rsidRDefault="000B46F4" w:rsidP="005361D0"/>
        </w:tc>
      </w:tr>
      <w:tr w:rsidR="000B46F4" w14:paraId="7893D773" w14:textId="77777777" w:rsidTr="000B46F4">
        <w:tc>
          <w:tcPr>
            <w:tcW w:w="2612" w:type="dxa"/>
            <w:shd w:val="clear" w:color="auto" w:fill="FFFFFF" w:themeFill="background1"/>
          </w:tcPr>
          <w:p w14:paraId="56E4BC3F" w14:textId="27D3BA51" w:rsidR="000B46F4" w:rsidRPr="000B46F4" w:rsidRDefault="000B46F4" w:rsidP="000B46F4">
            <w:pPr>
              <w:pStyle w:val="ListParagraph"/>
              <w:numPr>
                <w:ilvl w:val="0"/>
                <w:numId w:val="3"/>
              </w:numPr>
              <w:rPr>
                <w:b/>
                <w:bCs/>
                <w:sz w:val="24"/>
                <w:szCs w:val="24"/>
              </w:rPr>
            </w:pPr>
            <w:r>
              <w:rPr>
                <w:b/>
                <w:bCs/>
                <w:sz w:val="24"/>
                <w:szCs w:val="24"/>
              </w:rPr>
              <w:t>Review of Packaging Engineering Technology Major</w:t>
            </w:r>
          </w:p>
        </w:tc>
        <w:tc>
          <w:tcPr>
            <w:tcW w:w="4665" w:type="dxa"/>
            <w:shd w:val="clear" w:color="auto" w:fill="FFFFFF" w:themeFill="background1"/>
          </w:tcPr>
          <w:p w14:paraId="5F9AF1D3" w14:textId="77777777" w:rsidR="000B46F4" w:rsidRDefault="00776CFF" w:rsidP="005361D0">
            <w:r>
              <w:t>R. Peters noted again the alterations to the Math pathway and the two-course senior sequence.  Manufacturing 225 was made a requirement rather than an elective, and also requiring environmental issues in packaging.</w:t>
            </w:r>
          </w:p>
          <w:p w14:paraId="58385E1B" w14:textId="77777777" w:rsidR="00776CFF" w:rsidRDefault="00776CFF" w:rsidP="005361D0"/>
          <w:p w14:paraId="07795A17" w14:textId="77777777" w:rsidR="00776CFF" w:rsidRDefault="00776CFF" w:rsidP="005361D0">
            <w:r>
              <w:t>J. Kinne noted some odd sequencing of courses.</w:t>
            </w:r>
          </w:p>
          <w:p w14:paraId="713C184F" w14:textId="77777777" w:rsidR="00776CFF" w:rsidRDefault="00776CFF" w:rsidP="005361D0"/>
          <w:p w14:paraId="2016A411" w14:textId="2966966D" w:rsidR="00776CFF" w:rsidRDefault="00776CFF" w:rsidP="005361D0">
            <w:r>
              <w:t xml:space="preserve">R. Peters explained the apparent oddity by noting that students take courses as they are listed in </w:t>
            </w:r>
            <w:proofErr w:type="spellStart"/>
            <w:r>
              <w:t>MySAM</w:t>
            </w:r>
            <w:proofErr w:type="spellEnd"/>
            <w:r>
              <w:t>, when that listing is not usually the ideal envisioned by the faculty, so they decided to list the courses in the proposal as they would like students to take them.</w:t>
            </w:r>
          </w:p>
        </w:tc>
        <w:tc>
          <w:tcPr>
            <w:tcW w:w="2528" w:type="dxa"/>
            <w:shd w:val="clear" w:color="auto" w:fill="FFFFFF" w:themeFill="background1"/>
          </w:tcPr>
          <w:p w14:paraId="1FA0D839" w14:textId="77777777" w:rsidR="000B46F4" w:rsidRDefault="000B46F4" w:rsidP="005361D0"/>
        </w:tc>
      </w:tr>
      <w:tr w:rsidR="000B46F4" w14:paraId="31C30FEF" w14:textId="77777777" w:rsidTr="00B63220">
        <w:tc>
          <w:tcPr>
            <w:tcW w:w="2612" w:type="dxa"/>
            <w:shd w:val="clear" w:color="auto" w:fill="9CC2E5" w:themeFill="accent1" w:themeFillTint="99"/>
          </w:tcPr>
          <w:p w14:paraId="201B4FB0" w14:textId="77777777" w:rsidR="000B46F4" w:rsidRDefault="000B46F4" w:rsidP="005361D0">
            <w:pPr>
              <w:pStyle w:val="ListParagraph"/>
              <w:rPr>
                <w:b/>
                <w:bCs/>
                <w:sz w:val="24"/>
                <w:szCs w:val="24"/>
              </w:rPr>
            </w:pPr>
          </w:p>
        </w:tc>
        <w:tc>
          <w:tcPr>
            <w:tcW w:w="4665" w:type="dxa"/>
            <w:shd w:val="clear" w:color="auto" w:fill="9CC2E5" w:themeFill="accent1" w:themeFillTint="99"/>
          </w:tcPr>
          <w:p w14:paraId="52CCCD61" w14:textId="77777777" w:rsidR="000B46F4" w:rsidRDefault="000B46F4" w:rsidP="005361D0"/>
        </w:tc>
        <w:tc>
          <w:tcPr>
            <w:tcW w:w="2528" w:type="dxa"/>
            <w:shd w:val="clear" w:color="auto" w:fill="9CC2E5" w:themeFill="accent1" w:themeFillTint="99"/>
          </w:tcPr>
          <w:p w14:paraId="15EFF628" w14:textId="77777777" w:rsidR="000B46F4" w:rsidRDefault="000B46F4" w:rsidP="005361D0"/>
        </w:tc>
      </w:tr>
      <w:tr w:rsidR="000B46F4" w14:paraId="0DBD65F5" w14:textId="77777777" w:rsidTr="000B46F4">
        <w:tc>
          <w:tcPr>
            <w:tcW w:w="2612" w:type="dxa"/>
            <w:shd w:val="clear" w:color="auto" w:fill="FFFFFF" w:themeFill="background1"/>
          </w:tcPr>
          <w:p w14:paraId="24EDF572" w14:textId="515AF19F" w:rsidR="000B46F4" w:rsidRPr="000B46F4" w:rsidRDefault="000B46F4" w:rsidP="000B46F4">
            <w:pPr>
              <w:pStyle w:val="ListParagraph"/>
              <w:numPr>
                <w:ilvl w:val="0"/>
                <w:numId w:val="3"/>
              </w:numPr>
              <w:rPr>
                <w:b/>
                <w:bCs/>
                <w:sz w:val="24"/>
                <w:szCs w:val="24"/>
              </w:rPr>
            </w:pPr>
            <w:r>
              <w:rPr>
                <w:b/>
                <w:bCs/>
                <w:sz w:val="24"/>
                <w:szCs w:val="24"/>
              </w:rPr>
              <w:lastRenderedPageBreak/>
              <w:t>Traffic Engineering Technology Major</w:t>
            </w:r>
          </w:p>
        </w:tc>
        <w:tc>
          <w:tcPr>
            <w:tcW w:w="4665" w:type="dxa"/>
            <w:shd w:val="clear" w:color="auto" w:fill="FFFFFF" w:themeFill="background1"/>
          </w:tcPr>
          <w:p w14:paraId="57EDE8AF" w14:textId="29884C52" w:rsidR="000B46F4" w:rsidRDefault="00776CFF" w:rsidP="005361D0">
            <w:r>
              <w:t>R. Peters explained that they realized the program had a hidden prerequisite with regard to Mathematics classes.  They left MATH 129 in this major, as it was not going along with the aforementioned alterations in the pathway.</w:t>
            </w:r>
          </w:p>
        </w:tc>
        <w:tc>
          <w:tcPr>
            <w:tcW w:w="2528" w:type="dxa"/>
            <w:shd w:val="clear" w:color="auto" w:fill="FFFFFF" w:themeFill="background1"/>
          </w:tcPr>
          <w:p w14:paraId="5D046C58" w14:textId="77777777" w:rsidR="000B46F4" w:rsidRDefault="000B46F4" w:rsidP="005361D0"/>
        </w:tc>
      </w:tr>
      <w:tr w:rsidR="000B46F4" w14:paraId="2042A104" w14:textId="77777777" w:rsidTr="00B63220">
        <w:tc>
          <w:tcPr>
            <w:tcW w:w="2612" w:type="dxa"/>
            <w:shd w:val="clear" w:color="auto" w:fill="9CC2E5" w:themeFill="accent1" w:themeFillTint="99"/>
          </w:tcPr>
          <w:p w14:paraId="42595C8F" w14:textId="77777777" w:rsidR="000B46F4" w:rsidRDefault="000B46F4" w:rsidP="005361D0">
            <w:pPr>
              <w:pStyle w:val="ListParagraph"/>
              <w:rPr>
                <w:b/>
                <w:bCs/>
                <w:sz w:val="24"/>
                <w:szCs w:val="24"/>
              </w:rPr>
            </w:pPr>
          </w:p>
        </w:tc>
        <w:tc>
          <w:tcPr>
            <w:tcW w:w="4665" w:type="dxa"/>
            <w:shd w:val="clear" w:color="auto" w:fill="9CC2E5" w:themeFill="accent1" w:themeFillTint="99"/>
          </w:tcPr>
          <w:p w14:paraId="7940C2B3" w14:textId="77777777" w:rsidR="000B46F4" w:rsidRDefault="000B46F4" w:rsidP="005361D0"/>
        </w:tc>
        <w:tc>
          <w:tcPr>
            <w:tcW w:w="2528" w:type="dxa"/>
            <w:shd w:val="clear" w:color="auto" w:fill="9CC2E5" w:themeFill="accent1" w:themeFillTint="99"/>
          </w:tcPr>
          <w:p w14:paraId="447A3B52" w14:textId="77777777" w:rsidR="000B46F4" w:rsidRDefault="000B46F4" w:rsidP="005361D0"/>
        </w:tc>
      </w:tr>
      <w:tr w:rsidR="000B46F4" w14:paraId="14B2F714" w14:textId="77777777" w:rsidTr="000B46F4">
        <w:tc>
          <w:tcPr>
            <w:tcW w:w="2612" w:type="dxa"/>
            <w:shd w:val="clear" w:color="auto" w:fill="FFFFFF" w:themeFill="background1"/>
          </w:tcPr>
          <w:p w14:paraId="04E4E0FE" w14:textId="3CBA64D7" w:rsidR="000B46F4" w:rsidRPr="000B46F4" w:rsidRDefault="000B46F4" w:rsidP="000B46F4">
            <w:pPr>
              <w:pStyle w:val="ListParagraph"/>
              <w:numPr>
                <w:ilvl w:val="0"/>
                <w:numId w:val="3"/>
              </w:numPr>
              <w:rPr>
                <w:b/>
                <w:bCs/>
                <w:sz w:val="24"/>
                <w:szCs w:val="24"/>
              </w:rPr>
            </w:pPr>
            <w:r>
              <w:rPr>
                <w:b/>
                <w:bCs/>
                <w:sz w:val="24"/>
                <w:szCs w:val="24"/>
              </w:rPr>
              <w:t>Unmanned Systems Major</w:t>
            </w:r>
          </w:p>
        </w:tc>
        <w:tc>
          <w:tcPr>
            <w:tcW w:w="4665" w:type="dxa"/>
            <w:shd w:val="clear" w:color="auto" w:fill="FFFFFF" w:themeFill="background1"/>
          </w:tcPr>
          <w:p w14:paraId="74AE7601" w14:textId="77777777" w:rsidR="000B46F4" w:rsidRDefault="00776CFF" w:rsidP="005361D0">
            <w:r>
              <w:t>M. Collins explained the alterations to this major.  It began in 2012, so it is a new major.  They fielded complaints from students of unnecessary classes and a review showed that originally the program was linked to aviation, while their majors did not need all of the same aviation courses.  They took out aviation courses, such as airport operations or aviation security, and replaced them with classes from Computer Engineering Technology and Earth and Environmental Systems.  They also listed ENVI 110/110L as the most appropriate course of the FS Science requirement.</w:t>
            </w:r>
          </w:p>
          <w:p w14:paraId="55B48B49" w14:textId="77777777" w:rsidR="00776CFF" w:rsidRDefault="00776CFF" w:rsidP="005361D0"/>
          <w:p w14:paraId="16684C5E" w14:textId="77777777" w:rsidR="00776CFF" w:rsidRDefault="00776CFF" w:rsidP="005361D0">
            <w:r>
              <w:t xml:space="preserve">J. Kinne asked whether the courses outside of the home department have appropriate amounts of seats to accommodate your </w:t>
            </w:r>
            <w:proofErr w:type="gramStart"/>
            <w:r>
              <w:t>students?</w:t>
            </w:r>
            <w:proofErr w:type="gramEnd"/>
          </w:p>
          <w:p w14:paraId="3E168A5C" w14:textId="77777777" w:rsidR="00776CFF" w:rsidRDefault="00776CFF" w:rsidP="005361D0"/>
          <w:p w14:paraId="5A4A2DC0" w14:textId="77777777" w:rsidR="00776CFF" w:rsidRDefault="00776CFF" w:rsidP="005361D0">
            <w:r>
              <w:t>M. Collins noted that they had contacted them, and that they do.  They have about 85 students currently and project growth of about 5% per years.</w:t>
            </w:r>
          </w:p>
          <w:p w14:paraId="656EA6A8" w14:textId="77777777" w:rsidR="00776CFF" w:rsidRDefault="00776CFF" w:rsidP="005361D0"/>
          <w:p w14:paraId="0EC7B1F2" w14:textId="77777777" w:rsidR="00776CFF" w:rsidRDefault="00776CFF" w:rsidP="005361D0">
            <w:r>
              <w:t xml:space="preserve">R. Bauer asked why the program no longer has Air Traffic </w:t>
            </w:r>
            <w:proofErr w:type="gramStart"/>
            <w:r>
              <w:t>Control?</w:t>
            </w:r>
            <w:proofErr w:type="gramEnd"/>
          </w:p>
          <w:p w14:paraId="56CA503A" w14:textId="77777777" w:rsidR="00776CFF" w:rsidRDefault="00776CFF" w:rsidP="005361D0"/>
          <w:p w14:paraId="1FDC8C8E" w14:textId="77777777" w:rsidR="00776CFF" w:rsidRDefault="00776CFF" w:rsidP="005361D0">
            <w:r>
              <w:t>M. Collins responded that it was too focused on aviation, whereas the industry was moving into non-aviation unmanned systems, such as trucking, i.e. ground and water, and not just aviation.</w:t>
            </w:r>
          </w:p>
          <w:p w14:paraId="5225D952" w14:textId="77777777" w:rsidR="00776CFF" w:rsidRDefault="00776CFF" w:rsidP="005361D0"/>
          <w:p w14:paraId="1124E327" w14:textId="77777777" w:rsidR="00776CFF" w:rsidRDefault="00776CFF" w:rsidP="005361D0">
            <w:r>
              <w:t xml:space="preserve">J. Kinne asked what types of jobs did graduate </w:t>
            </w:r>
            <w:proofErr w:type="gramStart"/>
            <w:r>
              <w:t>seek?</w:t>
            </w:r>
            <w:proofErr w:type="gramEnd"/>
          </w:p>
          <w:p w14:paraId="406A619B" w14:textId="77777777" w:rsidR="00776CFF" w:rsidRDefault="00776CFF" w:rsidP="005361D0"/>
          <w:p w14:paraId="122C7E3C" w14:textId="77777777" w:rsidR="00776CFF" w:rsidRDefault="00776CFF" w:rsidP="005361D0">
            <w:r>
              <w:t>M. Collins explained that they found positions as pilots, managers and engineers.  Many went into the military.</w:t>
            </w:r>
          </w:p>
          <w:p w14:paraId="4EDDD06E" w14:textId="77777777" w:rsidR="00776CFF" w:rsidRDefault="00776CFF" w:rsidP="00776CFF"/>
          <w:p w14:paraId="70DFB5A9" w14:textId="77777777" w:rsidR="00776CFF" w:rsidRDefault="00776CFF" w:rsidP="00776CFF">
            <w:r>
              <w:t xml:space="preserve">A Smith noted that many of the students double major.  Will the changes impact this?  </w:t>
            </w:r>
          </w:p>
          <w:p w14:paraId="7AB68E30" w14:textId="77777777" w:rsidR="00776CFF" w:rsidRDefault="00776CFF" w:rsidP="00776CFF"/>
          <w:p w14:paraId="5C4E3FA3" w14:textId="77777777" w:rsidR="00776CFF" w:rsidRDefault="00776CFF" w:rsidP="00776CFF">
            <w:r>
              <w:lastRenderedPageBreak/>
              <w:t>M. Collins noted that this likely would change, but minors, such as in Computer Engineering Technology or ENVI might be very popular.</w:t>
            </w:r>
          </w:p>
          <w:p w14:paraId="436E9AB5" w14:textId="77777777" w:rsidR="00776CFF" w:rsidRDefault="00776CFF" w:rsidP="00776CFF"/>
          <w:p w14:paraId="51CE0F96" w14:textId="77777777" w:rsidR="00776CFF" w:rsidRDefault="00776CFF" w:rsidP="00776CFF">
            <w:r>
              <w:t>M. Collins hoped that these changes would make the fall catalog.</w:t>
            </w:r>
          </w:p>
          <w:p w14:paraId="4554963F" w14:textId="77777777" w:rsidR="00776CFF" w:rsidRDefault="00776CFF" w:rsidP="00776CFF"/>
          <w:p w14:paraId="5B981F54" w14:textId="5C09B927" w:rsidR="00776CFF" w:rsidRDefault="00776CFF" w:rsidP="00776CFF">
            <w:r>
              <w:t>W. Ko explained that this is up to Academic Affairs in the Provost’s office.</w:t>
            </w:r>
          </w:p>
        </w:tc>
        <w:tc>
          <w:tcPr>
            <w:tcW w:w="2528" w:type="dxa"/>
            <w:shd w:val="clear" w:color="auto" w:fill="FFFFFF" w:themeFill="background1"/>
          </w:tcPr>
          <w:p w14:paraId="75F6B60D" w14:textId="77777777" w:rsidR="000B46F4" w:rsidRDefault="000B46F4" w:rsidP="005361D0"/>
        </w:tc>
      </w:tr>
      <w:tr w:rsidR="000B46F4" w14:paraId="66133B24" w14:textId="77777777" w:rsidTr="00B63220">
        <w:tc>
          <w:tcPr>
            <w:tcW w:w="2612" w:type="dxa"/>
            <w:shd w:val="clear" w:color="auto" w:fill="9CC2E5" w:themeFill="accent1" w:themeFillTint="99"/>
          </w:tcPr>
          <w:p w14:paraId="47830EB4" w14:textId="77777777" w:rsidR="000B46F4" w:rsidRDefault="000B46F4" w:rsidP="005361D0">
            <w:pPr>
              <w:pStyle w:val="ListParagraph"/>
              <w:rPr>
                <w:b/>
                <w:bCs/>
                <w:sz w:val="24"/>
                <w:szCs w:val="24"/>
              </w:rPr>
            </w:pPr>
          </w:p>
        </w:tc>
        <w:tc>
          <w:tcPr>
            <w:tcW w:w="4665" w:type="dxa"/>
            <w:shd w:val="clear" w:color="auto" w:fill="9CC2E5" w:themeFill="accent1" w:themeFillTint="99"/>
          </w:tcPr>
          <w:p w14:paraId="09D7F9B8" w14:textId="77777777" w:rsidR="000B46F4" w:rsidRDefault="000B46F4" w:rsidP="005361D0"/>
        </w:tc>
        <w:tc>
          <w:tcPr>
            <w:tcW w:w="2528" w:type="dxa"/>
            <w:shd w:val="clear" w:color="auto" w:fill="9CC2E5" w:themeFill="accent1" w:themeFillTint="99"/>
          </w:tcPr>
          <w:p w14:paraId="3D93B1A7" w14:textId="77777777" w:rsidR="000B46F4" w:rsidRDefault="000B46F4" w:rsidP="005361D0"/>
        </w:tc>
      </w:tr>
      <w:tr w:rsidR="000B46F4" w14:paraId="0CDF74ED" w14:textId="77777777" w:rsidTr="000B46F4">
        <w:tc>
          <w:tcPr>
            <w:tcW w:w="2612" w:type="dxa"/>
            <w:shd w:val="clear" w:color="auto" w:fill="FFFFFF" w:themeFill="background1"/>
          </w:tcPr>
          <w:p w14:paraId="7954C536" w14:textId="098B9F22" w:rsidR="000B46F4" w:rsidRPr="000B46F4" w:rsidRDefault="000B46F4" w:rsidP="000B46F4">
            <w:pPr>
              <w:pStyle w:val="ListParagraph"/>
              <w:numPr>
                <w:ilvl w:val="0"/>
                <w:numId w:val="3"/>
              </w:numPr>
              <w:rPr>
                <w:b/>
                <w:bCs/>
                <w:sz w:val="24"/>
                <w:szCs w:val="24"/>
              </w:rPr>
            </w:pPr>
            <w:r>
              <w:rPr>
                <w:b/>
                <w:bCs/>
                <w:sz w:val="24"/>
                <w:szCs w:val="24"/>
              </w:rPr>
              <w:t>Review of a major, minor, and a program that has minor revisions</w:t>
            </w:r>
          </w:p>
        </w:tc>
        <w:tc>
          <w:tcPr>
            <w:tcW w:w="4665" w:type="dxa"/>
            <w:shd w:val="clear" w:color="auto" w:fill="FFFFFF" w:themeFill="background1"/>
          </w:tcPr>
          <w:p w14:paraId="12E2D473" w14:textId="77777777" w:rsidR="000B46F4" w:rsidRDefault="000B46F4" w:rsidP="005361D0">
            <w:r>
              <w:t xml:space="preserve">The following programs were noted in the agenda and on </w:t>
            </w:r>
            <w:proofErr w:type="spellStart"/>
            <w:r>
              <w:t>Curriculog</w:t>
            </w:r>
            <w:proofErr w:type="spellEnd"/>
            <w:r>
              <w:t xml:space="preserve"> as having the following minor alterations:</w:t>
            </w:r>
          </w:p>
          <w:p w14:paraId="008024F4" w14:textId="77777777" w:rsidR="000B46F4" w:rsidRDefault="000B46F4" w:rsidP="000B46F4">
            <w:pPr>
              <w:pStyle w:val="ListParagraph"/>
              <w:numPr>
                <w:ilvl w:val="0"/>
                <w:numId w:val="11"/>
              </w:numPr>
            </w:pPr>
            <w:r>
              <w:t>Automotive Technology Management Minor (prefix changes).</w:t>
            </w:r>
          </w:p>
          <w:p w14:paraId="278316F7" w14:textId="77777777" w:rsidR="000B46F4" w:rsidRDefault="000B46F4" w:rsidP="000B46F4">
            <w:pPr>
              <w:pStyle w:val="ListParagraph"/>
              <w:numPr>
                <w:ilvl w:val="0"/>
                <w:numId w:val="11"/>
              </w:numPr>
            </w:pPr>
            <w:r>
              <w:t xml:space="preserve">Early Intervention Non-Licensure </w:t>
            </w:r>
          </w:p>
          <w:p w14:paraId="248470C4" w14:textId="77777777" w:rsidR="000B46F4" w:rsidRDefault="000B46F4" w:rsidP="000B46F4">
            <w:pPr>
              <w:pStyle w:val="ListParagraph"/>
              <w:numPr>
                <w:ilvl w:val="0"/>
                <w:numId w:val="11"/>
              </w:numPr>
            </w:pPr>
            <w:r>
              <w:t>Lean Six Sigma Certificate (prefix changes)</w:t>
            </w:r>
          </w:p>
          <w:p w14:paraId="18223DA6" w14:textId="77777777" w:rsidR="000B46F4" w:rsidRDefault="000B46F4" w:rsidP="000B46F4">
            <w:pPr>
              <w:pStyle w:val="ListParagraph"/>
              <w:numPr>
                <w:ilvl w:val="0"/>
                <w:numId w:val="11"/>
              </w:numPr>
            </w:pPr>
            <w:r>
              <w:t>Lean Six Sigma Minor (minor revisions and prefix changes)</w:t>
            </w:r>
          </w:p>
          <w:p w14:paraId="1BE8B26B" w14:textId="77777777" w:rsidR="000B46F4" w:rsidRDefault="000B46F4" w:rsidP="000B46F4">
            <w:r>
              <w:t>J. Kinne asked for clarification on the non-licensure program noted above.</w:t>
            </w:r>
          </w:p>
          <w:p w14:paraId="3AF4FCFD" w14:textId="77777777" w:rsidR="000B46F4" w:rsidRDefault="000B46F4" w:rsidP="000B46F4"/>
          <w:p w14:paraId="12E5EA4E" w14:textId="77777777" w:rsidR="000B46F4" w:rsidRDefault="000B46F4" w:rsidP="000B46F4">
            <w:r>
              <w:t>J. Sheese responded that they were replacing one course to make it more clinically-based.</w:t>
            </w:r>
          </w:p>
          <w:p w14:paraId="441EB170" w14:textId="6C7E69D7" w:rsidR="000B46F4" w:rsidRDefault="000B46F4" w:rsidP="000B46F4"/>
        </w:tc>
        <w:tc>
          <w:tcPr>
            <w:tcW w:w="2528" w:type="dxa"/>
            <w:shd w:val="clear" w:color="auto" w:fill="FFFFFF" w:themeFill="background1"/>
          </w:tcPr>
          <w:p w14:paraId="6889E33C" w14:textId="77777777" w:rsidR="000B46F4" w:rsidRDefault="000B46F4" w:rsidP="005361D0"/>
        </w:tc>
      </w:tr>
      <w:tr w:rsidR="000B46F4" w14:paraId="1250197C" w14:textId="77777777" w:rsidTr="00B63220">
        <w:tc>
          <w:tcPr>
            <w:tcW w:w="2612" w:type="dxa"/>
            <w:shd w:val="clear" w:color="auto" w:fill="9CC2E5" w:themeFill="accent1" w:themeFillTint="99"/>
          </w:tcPr>
          <w:p w14:paraId="2434FC55" w14:textId="77777777" w:rsidR="000B46F4" w:rsidRDefault="000B46F4" w:rsidP="005361D0">
            <w:pPr>
              <w:pStyle w:val="ListParagraph"/>
              <w:rPr>
                <w:b/>
                <w:bCs/>
                <w:sz w:val="24"/>
                <w:szCs w:val="24"/>
              </w:rPr>
            </w:pPr>
          </w:p>
        </w:tc>
        <w:tc>
          <w:tcPr>
            <w:tcW w:w="4665" w:type="dxa"/>
            <w:shd w:val="clear" w:color="auto" w:fill="9CC2E5" w:themeFill="accent1" w:themeFillTint="99"/>
          </w:tcPr>
          <w:p w14:paraId="1FC1031A" w14:textId="77777777" w:rsidR="000B46F4" w:rsidRDefault="000B46F4" w:rsidP="005361D0"/>
        </w:tc>
        <w:tc>
          <w:tcPr>
            <w:tcW w:w="2528" w:type="dxa"/>
            <w:shd w:val="clear" w:color="auto" w:fill="9CC2E5" w:themeFill="accent1" w:themeFillTint="99"/>
          </w:tcPr>
          <w:p w14:paraId="4AA0B517" w14:textId="77777777" w:rsidR="000B46F4" w:rsidRDefault="000B46F4" w:rsidP="005361D0"/>
        </w:tc>
      </w:tr>
      <w:tr w:rsidR="005361D0" w14:paraId="6BB2D4BE" w14:textId="77777777" w:rsidTr="00B63220">
        <w:tc>
          <w:tcPr>
            <w:tcW w:w="2612" w:type="dxa"/>
          </w:tcPr>
          <w:p w14:paraId="4ACAD24F" w14:textId="77777777" w:rsidR="005361D0" w:rsidRPr="00CE4364" w:rsidRDefault="005361D0" w:rsidP="005361D0">
            <w:pPr>
              <w:rPr>
                <w:i/>
              </w:rPr>
            </w:pPr>
            <w:r w:rsidRPr="00CE4364">
              <w:rPr>
                <w:i/>
              </w:rPr>
              <w:t>Motion to Suspend the rules</w:t>
            </w:r>
          </w:p>
          <w:p w14:paraId="61F30D7E" w14:textId="77777777" w:rsidR="005361D0" w:rsidRDefault="005361D0" w:rsidP="005361D0"/>
          <w:p w14:paraId="44599116" w14:textId="77777777" w:rsidR="005361D0" w:rsidRDefault="005361D0" w:rsidP="005361D0"/>
          <w:p w14:paraId="3B1FCB90" w14:textId="77777777" w:rsidR="005361D0" w:rsidRDefault="005361D0" w:rsidP="005361D0"/>
          <w:p w14:paraId="5F8B2BFB" w14:textId="331514C7" w:rsidR="005361D0" w:rsidRDefault="005361D0" w:rsidP="005361D0">
            <w:pPr>
              <w:pStyle w:val="ListParagraph"/>
              <w:rPr>
                <w:b/>
                <w:bCs/>
                <w:sz w:val="24"/>
                <w:szCs w:val="24"/>
              </w:rPr>
            </w:pPr>
          </w:p>
        </w:tc>
        <w:tc>
          <w:tcPr>
            <w:tcW w:w="4665" w:type="dxa"/>
          </w:tcPr>
          <w:p w14:paraId="6DB537B7" w14:textId="77777777" w:rsidR="005361D0" w:rsidRPr="00CE4364" w:rsidRDefault="005361D0" w:rsidP="005361D0">
            <w:pPr>
              <w:rPr>
                <w:i/>
              </w:rPr>
            </w:pPr>
            <w:r w:rsidRPr="00CE4364">
              <w:rPr>
                <w:i/>
              </w:rPr>
              <w:t>Note – CAAC default rules do not allow curriculum to be voted on at the same meeting it was presented.  The committee can vote to suspend these rules in order to vote at the same meeting (i.e., to avoid needing to meet only to vote, or to get a proposal moved along a week sooner).</w:t>
            </w:r>
          </w:p>
          <w:p w14:paraId="792322FB" w14:textId="4DD13398" w:rsidR="005361D0" w:rsidRDefault="005361D0" w:rsidP="005361D0"/>
        </w:tc>
        <w:tc>
          <w:tcPr>
            <w:tcW w:w="2528" w:type="dxa"/>
          </w:tcPr>
          <w:p w14:paraId="5401FF7A" w14:textId="6607FCB4" w:rsidR="005361D0" w:rsidRDefault="005361D0" w:rsidP="000B46F4">
            <w:r>
              <w:t xml:space="preserve">Motion to suspend the rules by </w:t>
            </w:r>
            <w:r w:rsidR="000B46F4">
              <w:t>J. Kinne</w:t>
            </w:r>
            <w:r>
              <w:t xml:space="preserve">, second by </w:t>
            </w:r>
            <w:r w:rsidR="000B46F4">
              <w:t xml:space="preserve">R. </w:t>
            </w:r>
            <w:proofErr w:type="spellStart"/>
            <w:r w:rsidR="000B46F4">
              <w:t>McGiverin</w:t>
            </w:r>
            <w:proofErr w:type="spellEnd"/>
            <w:r>
              <w:t>. (8-0)</w:t>
            </w:r>
          </w:p>
        </w:tc>
      </w:tr>
      <w:tr w:rsidR="005361D0" w14:paraId="4C67026D" w14:textId="77777777" w:rsidTr="00B63220">
        <w:tc>
          <w:tcPr>
            <w:tcW w:w="2612" w:type="dxa"/>
            <w:shd w:val="clear" w:color="auto" w:fill="BDD6EE" w:themeFill="accent1" w:themeFillTint="66"/>
          </w:tcPr>
          <w:p w14:paraId="447BFDA8" w14:textId="77777777"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63BEFEA1" w14:textId="77777777"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313B5635" w14:textId="77777777" w:rsidR="005361D0" w:rsidRDefault="005361D0" w:rsidP="005361D0"/>
        </w:tc>
      </w:tr>
      <w:tr w:rsidR="005361D0" w14:paraId="35BF3638" w14:textId="77777777" w:rsidTr="00C44FF3">
        <w:tc>
          <w:tcPr>
            <w:tcW w:w="2612" w:type="dxa"/>
            <w:shd w:val="clear" w:color="auto" w:fill="FFFFFF" w:themeFill="background1"/>
          </w:tcPr>
          <w:p w14:paraId="16308374" w14:textId="34EC0CC1" w:rsidR="005361D0" w:rsidRPr="009C3527" w:rsidRDefault="005361D0" w:rsidP="000B46F4">
            <w:pPr>
              <w:pStyle w:val="ListParagraph"/>
              <w:numPr>
                <w:ilvl w:val="0"/>
                <w:numId w:val="3"/>
              </w:numPr>
              <w:rPr>
                <w:rFonts w:eastAsia="Times New Roman" w:cs="Times New Roman"/>
                <w:b/>
                <w:bCs/>
                <w:color w:val="000000" w:themeColor="text1"/>
              </w:rPr>
            </w:pPr>
            <w:r>
              <w:rPr>
                <w:rFonts w:eastAsia="Times New Roman" w:cs="Times New Roman"/>
                <w:b/>
                <w:bCs/>
                <w:color w:val="000000" w:themeColor="text1"/>
              </w:rPr>
              <w:t xml:space="preserve">Approval of </w:t>
            </w:r>
            <w:r w:rsidR="000B46F4">
              <w:rPr>
                <w:rFonts w:eastAsia="Times New Roman" w:cs="Times New Roman"/>
                <w:b/>
                <w:bCs/>
                <w:color w:val="000000" w:themeColor="text1"/>
              </w:rPr>
              <w:t>All items Reviewed above during this meeting</w:t>
            </w:r>
          </w:p>
        </w:tc>
        <w:tc>
          <w:tcPr>
            <w:tcW w:w="4665" w:type="dxa"/>
            <w:shd w:val="clear" w:color="auto" w:fill="FFFFFF" w:themeFill="background1"/>
          </w:tcPr>
          <w:p w14:paraId="5E2FBD8C" w14:textId="77777777" w:rsidR="005361D0" w:rsidRDefault="005361D0" w:rsidP="005361D0">
            <w:pPr>
              <w:rPr>
                <w:rFonts w:ascii="Calibri" w:eastAsia="Calibri" w:hAnsi="Calibri" w:cs="Calibri"/>
                <w:sz w:val="24"/>
                <w:szCs w:val="24"/>
              </w:rPr>
            </w:pPr>
          </w:p>
        </w:tc>
        <w:tc>
          <w:tcPr>
            <w:tcW w:w="2528" w:type="dxa"/>
            <w:shd w:val="clear" w:color="auto" w:fill="FFFFFF" w:themeFill="background1"/>
          </w:tcPr>
          <w:p w14:paraId="68879DD7" w14:textId="57F5EC74" w:rsidR="005361D0" w:rsidRDefault="005361D0" w:rsidP="000B46F4">
            <w:r>
              <w:t>Motion to approve by</w:t>
            </w:r>
            <w:r w:rsidR="000B46F4">
              <w:t xml:space="preserve"> J. Kinne, second by R. Bauer</w:t>
            </w:r>
            <w:r>
              <w:t>. (8-0)</w:t>
            </w:r>
          </w:p>
        </w:tc>
      </w:tr>
      <w:tr w:rsidR="005361D0" w14:paraId="439A79B6" w14:textId="77777777" w:rsidTr="00B63220">
        <w:tc>
          <w:tcPr>
            <w:tcW w:w="2612" w:type="dxa"/>
            <w:shd w:val="clear" w:color="auto" w:fill="BDD6EE" w:themeFill="accent1" w:themeFillTint="66"/>
          </w:tcPr>
          <w:p w14:paraId="1DCE8CDC" w14:textId="7376CC62"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0FB78278" w14:textId="59F88F4E"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1FC39945" w14:textId="77777777" w:rsidR="005361D0" w:rsidRDefault="005361D0" w:rsidP="005361D0"/>
        </w:tc>
      </w:tr>
      <w:tr w:rsidR="005361D0" w14:paraId="20D04E15" w14:textId="77777777" w:rsidTr="009C3527">
        <w:tc>
          <w:tcPr>
            <w:tcW w:w="2612" w:type="dxa"/>
            <w:shd w:val="clear" w:color="auto" w:fill="FFFFFF" w:themeFill="background1"/>
          </w:tcPr>
          <w:p w14:paraId="2B9E90DD" w14:textId="7BBF7C6C" w:rsidR="005361D0" w:rsidRPr="009C3527" w:rsidRDefault="000B46F4" w:rsidP="005361D0">
            <w:pPr>
              <w:pStyle w:val="ListParagraph"/>
              <w:numPr>
                <w:ilvl w:val="0"/>
                <w:numId w:val="3"/>
              </w:numPr>
              <w:rPr>
                <w:rFonts w:eastAsia="Times New Roman" w:cs="Times New Roman"/>
                <w:b/>
                <w:bCs/>
                <w:color w:val="000000" w:themeColor="text1"/>
              </w:rPr>
            </w:pPr>
            <w:r>
              <w:rPr>
                <w:rFonts w:eastAsia="Times New Roman" w:cs="Times New Roman"/>
                <w:b/>
                <w:bCs/>
                <w:color w:val="000000" w:themeColor="text1"/>
              </w:rPr>
              <w:t>Old  Business</w:t>
            </w:r>
          </w:p>
        </w:tc>
        <w:tc>
          <w:tcPr>
            <w:tcW w:w="4665" w:type="dxa"/>
            <w:shd w:val="clear" w:color="auto" w:fill="FFFFFF" w:themeFill="background1"/>
          </w:tcPr>
          <w:p w14:paraId="7D282F65" w14:textId="5382416F" w:rsidR="005361D0" w:rsidRDefault="000B46F4" w:rsidP="005361D0">
            <w:pPr>
              <w:rPr>
                <w:rFonts w:ascii="Calibri" w:eastAsia="Calibri" w:hAnsi="Calibri" w:cs="Calibri"/>
                <w:sz w:val="24"/>
                <w:szCs w:val="24"/>
              </w:rPr>
            </w:pPr>
            <w:r>
              <w:rPr>
                <w:rFonts w:ascii="Calibri" w:eastAsia="Calibri" w:hAnsi="Calibri" w:cs="Calibri"/>
                <w:sz w:val="24"/>
                <w:szCs w:val="24"/>
              </w:rPr>
              <w:t>NA</w:t>
            </w:r>
          </w:p>
        </w:tc>
        <w:tc>
          <w:tcPr>
            <w:tcW w:w="2528" w:type="dxa"/>
            <w:shd w:val="clear" w:color="auto" w:fill="FFFFFF" w:themeFill="background1"/>
          </w:tcPr>
          <w:p w14:paraId="09AF2FFA" w14:textId="107CFF40" w:rsidR="005361D0" w:rsidRDefault="005361D0" w:rsidP="005361D0"/>
        </w:tc>
      </w:tr>
      <w:tr w:rsidR="005361D0" w14:paraId="375A01E3" w14:textId="77777777" w:rsidTr="00B63220">
        <w:tc>
          <w:tcPr>
            <w:tcW w:w="2612" w:type="dxa"/>
            <w:shd w:val="clear" w:color="auto" w:fill="BDD6EE" w:themeFill="accent1" w:themeFillTint="66"/>
          </w:tcPr>
          <w:p w14:paraId="5452113E" w14:textId="77777777"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6B6C4931" w14:textId="77777777"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3440DC8E" w14:textId="77777777" w:rsidR="005361D0" w:rsidRDefault="005361D0" w:rsidP="005361D0"/>
        </w:tc>
      </w:tr>
      <w:tr w:rsidR="005361D0" w14:paraId="5B935692" w14:textId="77777777" w:rsidTr="009C3527">
        <w:tc>
          <w:tcPr>
            <w:tcW w:w="2612" w:type="dxa"/>
            <w:shd w:val="clear" w:color="auto" w:fill="FFFFFF" w:themeFill="background1"/>
          </w:tcPr>
          <w:p w14:paraId="03B21102" w14:textId="546CCD4C" w:rsidR="005361D0" w:rsidRPr="009C3527" w:rsidRDefault="000B46F4" w:rsidP="005361D0">
            <w:pPr>
              <w:pStyle w:val="ListParagraph"/>
              <w:numPr>
                <w:ilvl w:val="0"/>
                <w:numId w:val="3"/>
              </w:numPr>
              <w:rPr>
                <w:rFonts w:eastAsia="Times New Roman" w:cs="Times New Roman"/>
                <w:b/>
                <w:bCs/>
                <w:color w:val="000000" w:themeColor="text1"/>
              </w:rPr>
            </w:pPr>
            <w:r>
              <w:rPr>
                <w:rFonts w:eastAsia="Times New Roman" w:cs="Times New Roman"/>
                <w:b/>
                <w:bCs/>
                <w:color w:val="000000" w:themeColor="text1"/>
              </w:rPr>
              <w:t>New Business</w:t>
            </w:r>
          </w:p>
        </w:tc>
        <w:tc>
          <w:tcPr>
            <w:tcW w:w="4665" w:type="dxa"/>
            <w:shd w:val="clear" w:color="auto" w:fill="FFFFFF" w:themeFill="background1"/>
          </w:tcPr>
          <w:p w14:paraId="61433C90" w14:textId="1D63A943" w:rsidR="005361D0" w:rsidRDefault="000B46F4" w:rsidP="005361D0">
            <w:pPr>
              <w:rPr>
                <w:rFonts w:ascii="Calibri" w:eastAsia="Calibri" w:hAnsi="Calibri" w:cs="Calibri"/>
                <w:sz w:val="24"/>
                <w:szCs w:val="24"/>
              </w:rPr>
            </w:pPr>
            <w:r>
              <w:rPr>
                <w:rFonts w:ascii="Calibri" w:eastAsia="Calibri" w:hAnsi="Calibri" w:cs="Calibri"/>
                <w:sz w:val="24"/>
                <w:szCs w:val="24"/>
              </w:rPr>
              <w:t xml:space="preserve">W. </w:t>
            </w:r>
            <w:proofErr w:type="spellStart"/>
            <w:r>
              <w:rPr>
                <w:rFonts w:ascii="Calibri" w:eastAsia="Calibri" w:hAnsi="Calibri" w:cs="Calibri"/>
                <w:sz w:val="24"/>
                <w:szCs w:val="24"/>
              </w:rPr>
              <w:t>Nesser</w:t>
            </w:r>
            <w:proofErr w:type="spellEnd"/>
            <w:r>
              <w:rPr>
                <w:rFonts w:ascii="Calibri" w:eastAsia="Calibri" w:hAnsi="Calibri" w:cs="Calibri"/>
                <w:sz w:val="24"/>
                <w:szCs w:val="24"/>
              </w:rPr>
              <w:t xml:space="preserve"> noted that the School of Nursing is restructuring and that this body will be busy.  Just wanted to give CAAC notice, as the school needs to get this done and to the Senate and Board by May.</w:t>
            </w:r>
          </w:p>
        </w:tc>
        <w:tc>
          <w:tcPr>
            <w:tcW w:w="2528" w:type="dxa"/>
            <w:shd w:val="clear" w:color="auto" w:fill="FFFFFF" w:themeFill="background1"/>
          </w:tcPr>
          <w:p w14:paraId="6B77520B" w14:textId="3EFAAF58" w:rsidR="005361D0" w:rsidRDefault="005361D0" w:rsidP="005361D0"/>
        </w:tc>
      </w:tr>
      <w:tr w:rsidR="005361D0" w14:paraId="101C65C7" w14:textId="77777777" w:rsidTr="00B63220">
        <w:tc>
          <w:tcPr>
            <w:tcW w:w="2612" w:type="dxa"/>
            <w:shd w:val="clear" w:color="auto" w:fill="BDD6EE" w:themeFill="accent1" w:themeFillTint="66"/>
          </w:tcPr>
          <w:p w14:paraId="0ADFEDE9" w14:textId="77777777"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4BB6B2A0" w14:textId="77777777"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3AEF79B2" w14:textId="77777777" w:rsidR="005361D0" w:rsidRDefault="005361D0" w:rsidP="005361D0"/>
        </w:tc>
      </w:tr>
      <w:tr w:rsidR="005361D0" w14:paraId="6744A263" w14:textId="77777777" w:rsidTr="00FF5862">
        <w:tc>
          <w:tcPr>
            <w:tcW w:w="2612" w:type="dxa"/>
          </w:tcPr>
          <w:p w14:paraId="7D287D76" w14:textId="4B1DDB6B" w:rsidR="005361D0" w:rsidRPr="005361D0" w:rsidRDefault="000B46F4" w:rsidP="005361D0">
            <w:pPr>
              <w:pStyle w:val="ListParagraph"/>
              <w:numPr>
                <w:ilvl w:val="0"/>
                <w:numId w:val="3"/>
              </w:numPr>
              <w:rPr>
                <w:rFonts w:eastAsia="Times New Roman" w:cs="Times New Roman"/>
                <w:b/>
                <w:bCs/>
                <w:color w:val="000000" w:themeColor="text1"/>
              </w:rPr>
            </w:pPr>
            <w:r>
              <w:rPr>
                <w:rFonts w:eastAsia="Times New Roman" w:cs="Times New Roman"/>
                <w:b/>
                <w:bCs/>
                <w:color w:val="000000" w:themeColor="text1"/>
              </w:rPr>
              <w:t>Senate Executive Report</w:t>
            </w:r>
          </w:p>
        </w:tc>
        <w:tc>
          <w:tcPr>
            <w:tcW w:w="4665" w:type="dxa"/>
          </w:tcPr>
          <w:p w14:paraId="1562089A" w14:textId="2E0B80FF" w:rsidR="005361D0" w:rsidRDefault="000B46F4" w:rsidP="005361D0">
            <w:pPr>
              <w:rPr>
                <w:rFonts w:ascii="Calibri" w:eastAsia="Calibri" w:hAnsi="Calibri" w:cs="Calibri"/>
                <w:sz w:val="24"/>
                <w:szCs w:val="24"/>
              </w:rPr>
            </w:pPr>
            <w:r>
              <w:rPr>
                <w:rFonts w:ascii="Calibri" w:eastAsia="Calibri" w:hAnsi="Calibri" w:cs="Calibri"/>
                <w:sz w:val="24"/>
                <w:szCs w:val="24"/>
              </w:rPr>
              <w:t>S. Phillips noted the approval of the Energy Technology certificate and the various SSE licensure eliminations.  They also approved the language on the redundant minors if majoring in that area.</w:t>
            </w:r>
          </w:p>
        </w:tc>
        <w:tc>
          <w:tcPr>
            <w:tcW w:w="2528" w:type="dxa"/>
            <w:shd w:val="clear" w:color="auto" w:fill="FFFFFF" w:themeFill="background1"/>
          </w:tcPr>
          <w:p w14:paraId="6CF0A707" w14:textId="65F25A68" w:rsidR="005361D0" w:rsidRDefault="005361D0" w:rsidP="005361D0"/>
        </w:tc>
      </w:tr>
      <w:tr w:rsidR="005361D0" w14:paraId="18A15C1B" w14:textId="77777777" w:rsidTr="00B63220">
        <w:tc>
          <w:tcPr>
            <w:tcW w:w="2612" w:type="dxa"/>
            <w:shd w:val="clear" w:color="auto" w:fill="BDD6EE" w:themeFill="accent1" w:themeFillTint="66"/>
          </w:tcPr>
          <w:p w14:paraId="34AE5802" w14:textId="77777777" w:rsidR="005361D0" w:rsidRPr="00FA454B" w:rsidRDefault="005361D0" w:rsidP="005361D0">
            <w:pPr>
              <w:ind w:left="360"/>
              <w:rPr>
                <w:rFonts w:eastAsia="Times New Roman" w:cs="Times New Roman"/>
                <w:b/>
                <w:bCs/>
                <w:color w:val="000000" w:themeColor="text1"/>
              </w:rPr>
            </w:pPr>
          </w:p>
        </w:tc>
        <w:tc>
          <w:tcPr>
            <w:tcW w:w="4665" w:type="dxa"/>
            <w:shd w:val="clear" w:color="auto" w:fill="BDD6EE" w:themeFill="accent1" w:themeFillTint="66"/>
          </w:tcPr>
          <w:p w14:paraId="1F730DDC" w14:textId="77777777" w:rsidR="005361D0" w:rsidRDefault="005361D0" w:rsidP="005361D0">
            <w:pPr>
              <w:rPr>
                <w:rFonts w:ascii="Calibri" w:eastAsia="Calibri" w:hAnsi="Calibri" w:cs="Calibri"/>
                <w:sz w:val="24"/>
                <w:szCs w:val="24"/>
              </w:rPr>
            </w:pPr>
          </w:p>
        </w:tc>
        <w:tc>
          <w:tcPr>
            <w:tcW w:w="2528" w:type="dxa"/>
            <w:shd w:val="clear" w:color="auto" w:fill="BDD6EE" w:themeFill="accent1" w:themeFillTint="66"/>
          </w:tcPr>
          <w:p w14:paraId="1BE76F31" w14:textId="77777777" w:rsidR="005361D0" w:rsidRDefault="005361D0" w:rsidP="005361D0"/>
        </w:tc>
      </w:tr>
      <w:tr w:rsidR="005361D0" w14:paraId="0C91164F" w14:textId="77777777" w:rsidTr="00C70874">
        <w:tc>
          <w:tcPr>
            <w:tcW w:w="2612" w:type="dxa"/>
            <w:shd w:val="clear" w:color="auto" w:fill="FFFFFF" w:themeFill="background1"/>
          </w:tcPr>
          <w:p w14:paraId="520C0FA1" w14:textId="7DB85BF6" w:rsidR="005361D0" w:rsidRPr="00C70874" w:rsidRDefault="005361D0" w:rsidP="005361D0">
            <w:pPr>
              <w:pStyle w:val="ListParagraph"/>
              <w:numPr>
                <w:ilvl w:val="0"/>
                <w:numId w:val="3"/>
              </w:numPr>
              <w:rPr>
                <w:rFonts w:eastAsia="Times New Roman" w:cs="Times New Roman"/>
                <w:b/>
                <w:bCs/>
                <w:color w:val="000000" w:themeColor="text1"/>
              </w:rPr>
            </w:pPr>
            <w:r>
              <w:rPr>
                <w:b/>
                <w:bCs/>
              </w:rPr>
              <w:t>Chair’s Report</w:t>
            </w:r>
          </w:p>
        </w:tc>
        <w:tc>
          <w:tcPr>
            <w:tcW w:w="4665" w:type="dxa"/>
            <w:shd w:val="clear" w:color="auto" w:fill="FFFFFF" w:themeFill="background1"/>
          </w:tcPr>
          <w:p w14:paraId="33C0818F" w14:textId="2E06DD08" w:rsidR="005361D0" w:rsidRDefault="000B46F4" w:rsidP="005361D0">
            <w:pPr>
              <w:rPr>
                <w:rFonts w:ascii="Calibri" w:eastAsia="Calibri" w:hAnsi="Calibri" w:cs="Calibri"/>
                <w:sz w:val="24"/>
                <w:szCs w:val="24"/>
              </w:rPr>
            </w:pPr>
            <w:r>
              <w:rPr>
                <w:rFonts w:ascii="Calibri" w:eastAsia="Calibri" w:hAnsi="Calibri" w:cs="Calibri"/>
                <w:sz w:val="24"/>
                <w:szCs w:val="24"/>
              </w:rPr>
              <w:t>W. Ko noted that there would likely not be a meeting next week.  The Student Government Association responded that they would be sending at least one student to future CAAC meetings.  Finally, she sent out documents from K. Wilkinson that CAAC should examine before the next meeting.</w:t>
            </w:r>
          </w:p>
        </w:tc>
        <w:tc>
          <w:tcPr>
            <w:tcW w:w="2528" w:type="dxa"/>
            <w:shd w:val="clear" w:color="auto" w:fill="FFFFFF" w:themeFill="background1"/>
          </w:tcPr>
          <w:p w14:paraId="7B371E44" w14:textId="71009D39" w:rsidR="005361D0" w:rsidRDefault="005361D0" w:rsidP="005361D0"/>
        </w:tc>
      </w:tr>
      <w:tr w:rsidR="005361D0" w14:paraId="6F5BE341" w14:textId="77777777" w:rsidTr="00B63220">
        <w:tc>
          <w:tcPr>
            <w:tcW w:w="2612" w:type="dxa"/>
            <w:shd w:val="clear" w:color="auto" w:fill="BDD6EE" w:themeFill="accent1" w:themeFillTint="66"/>
          </w:tcPr>
          <w:p w14:paraId="5C004BA7" w14:textId="77777777" w:rsidR="005361D0" w:rsidRPr="00E70ECD" w:rsidRDefault="005361D0" w:rsidP="005361D0">
            <w:pPr>
              <w:rPr>
                <w:b/>
                <w:bCs/>
              </w:rPr>
            </w:pPr>
          </w:p>
        </w:tc>
        <w:tc>
          <w:tcPr>
            <w:tcW w:w="4665" w:type="dxa"/>
            <w:shd w:val="clear" w:color="auto" w:fill="BDD6EE" w:themeFill="accent1" w:themeFillTint="66"/>
          </w:tcPr>
          <w:p w14:paraId="12633F81" w14:textId="77777777" w:rsidR="005361D0" w:rsidRDefault="005361D0" w:rsidP="005361D0"/>
        </w:tc>
        <w:tc>
          <w:tcPr>
            <w:tcW w:w="2528" w:type="dxa"/>
            <w:shd w:val="clear" w:color="auto" w:fill="BDD6EE" w:themeFill="accent1" w:themeFillTint="66"/>
          </w:tcPr>
          <w:p w14:paraId="0487F8AE" w14:textId="77777777" w:rsidR="005361D0" w:rsidRDefault="005361D0" w:rsidP="005361D0"/>
        </w:tc>
      </w:tr>
      <w:tr w:rsidR="005361D0" w14:paraId="66204FF1" w14:textId="77777777" w:rsidTr="00B63220">
        <w:tc>
          <w:tcPr>
            <w:tcW w:w="2612" w:type="dxa"/>
          </w:tcPr>
          <w:p w14:paraId="2DBF0D7D" w14:textId="06EB1892" w:rsidR="005361D0" w:rsidRPr="00E70ECD" w:rsidRDefault="005361D0" w:rsidP="005361D0">
            <w:pPr>
              <w:rPr>
                <w:b/>
              </w:rPr>
            </w:pPr>
            <w:r w:rsidRPr="00E70ECD">
              <w:rPr>
                <w:b/>
                <w:bCs/>
              </w:rPr>
              <w:t>Adjournment</w:t>
            </w:r>
          </w:p>
        </w:tc>
        <w:tc>
          <w:tcPr>
            <w:tcW w:w="4665" w:type="dxa"/>
          </w:tcPr>
          <w:p w14:paraId="6B62F1B3" w14:textId="4E08F8F7" w:rsidR="005361D0" w:rsidRDefault="005361D0" w:rsidP="00776CFF">
            <w:r>
              <w:t>Meeting adjourned  1:3</w:t>
            </w:r>
            <w:r w:rsidR="00776CFF">
              <w:t>1</w:t>
            </w:r>
            <w:r>
              <w:t xml:space="preserve"> PM</w:t>
            </w:r>
          </w:p>
        </w:tc>
        <w:tc>
          <w:tcPr>
            <w:tcW w:w="2528" w:type="dxa"/>
          </w:tcPr>
          <w:p w14:paraId="1F5C4F15" w14:textId="52AA433B" w:rsidR="005361D0" w:rsidRDefault="005361D0" w:rsidP="005361D0">
            <w:r>
              <w:t xml:space="preserve">Motion by </w:t>
            </w:r>
            <w:r w:rsidR="00776CFF">
              <w:t>J. Kinne</w:t>
            </w:r>
            <w:r>
              <w:t>, second by F. Moayed.</w:t>
            </w:r>
          </w:p>
          <w:p w14:paraId="02F2C34E" w14:textId="77777777" w:rsidR="005361D0" w:rsidRDefault="005361D0" w:rsidP="005361D0"/>
        </w:tc>
      </w:tr>
      <w:tr w:rsidR="005361D0" w14:paraId="362DD996" w14:textId="77777777" w:rsidTr="00B63220">
        <w:tc>
          <w:tcPr>
            <w:tcW w:w="2612" w:type="dxa"/>
          </w:tcPr>
          <w:p w14:paraId="0B7F62C4" w14:textId="7B33EE8D" w:rsidR="005361D0" w:rsidRPr="00E70ECD" w:rsidRDefault="005361D0" w:rsidP="005361D0">
            <w:pPr>
              <w:rPr>
                <w:b/>
                <w:bCs/>
              </w:rPr>
            </w:pPr>
          </w:p>
        </w:tc>
        <w:tc>
          <w:tcPr>
            <w:tcW w:w="4665" w:type="dxa"/>
          </w:tcPr>
          <w:p w14:paraId="3F9E6051" w14:textId="6F78752B" w:rsidR="005361D0" w:rsidRDefault="005361D0" w:rsidP="005361D0"/>
        </w:tc>
        <w:tc>
          <w:tcPr>
            <w:tcW w:w="2528" w:type="dxa"/>
          </w:tcPr>
          <w:p w14:paraId="5A7C8996" w14:textId="44FE3925" w:rsidR="005361D0" w:rsidRDefault="005361D0" w:rsidP="005361D0"/>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D3F1" w14:textId="77777777" w:rsidR="000D3BA7" w:rsidRDefault="000D3BA7" w:rsidP="000F6CD0">
      <w:pPr>
        <w:spacing w:after="0" w:line="240" w:lineRule="auto"/>
      </w:pPr>
      <w:r>
        <w:separator/>
      </w:r>
    </w:p>
  </w:endnote>
  <w:endnote w:type="continuationSeparator" w:id="0">
    <w:p w14:paraId="10B46C2C" w14:textId="77777777" w:rsidR="000D3BA7" w:rsidRDefault="000D3BA7"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DE69" w14:textId="77777777" w:rsidR="000D3BA7" w:rsidRDefault="000D3BA7" w:rsidP="000F6CD0">
      <w:pPr>
        <w:spacing w:after="0" w:line="240" w:lineRule="auto"/>
      </w:pPr>
      <w:r>
        <w:separator/>
      </w:r>
    </w:p>
  </w:footnote>
  <w:footnote w:type="continuationSeparator" w:id="0">
    <w:p w14:paraId="5D03266A" w14:textId="77777777" w:rsidR="000D3BA7" w:rsidRDefault="000D3BA7"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2A3223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01DE8"/>
    <w:multiLevelType w:val="hybridMultilevel"/>
    <w:tmpl w:val="5E64A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069A"/>
    <w:multiLevelType w:val="hybridMultilevel"/>
    <w:tmpl w:val="C3FE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07125"/>
    <w:multiLevelType w:val="hybridMultilevel"/>
    <w:tmpl w:val="D7544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3774"/>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62877"/>
    <w:multiLevelType w:val="hybridMultilevel"/>
    <w:tmpl w:val="C73E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72787"/>
    <w:multiLevelType w:val="hybridMultilevel"/>
    <w:tmpl w:val="A2763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9"/>
  </w:num>
  <w:num w:numId="6">
    <w:abstractNumId w:val="6"/>
  </w:num>
  <w:num w:numId="7">
    <w:abstractNumId w:val="8"/>
  </w:num>
  <w:num w:numId="8">
    <w:abstractNumId w:val="10"/>
  </w:num>
  <w:num w:numId="9">
    <w:abstractNumId w:val="5"/>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7E93"/>
    <w:rsid w:val="00022204"/>
    <w:rsid w:val="000561E0"/>
    <w:rsid w:val="00065C38"/>
    <w:rsid w:val="0007188C"/>
    <w:rsid w:val="000856DA"/>
    <w:rsid w:val="000A4AA6"/>
    <w:rsid w:val="000A66E9"/>
    <w:rsid w:val="000B46F4"/>
    <w:rsid w:val="000B503D"/>
    <w:rsid w:val="000C0034"/>
    <w:rsid w:val="000D27D6"/>
    <w:rsid w:val="000D3BA7"/>
    <w:rsid w:val="000F6CD0"/>
    <w:rsid w:val="00151968"/>
    <w:rsid w:val="00166088"/>
    <w:rsid w:val="00197293"/>
    <w:rsid w:val="001973F4"/>
    <w:rsid w:val="001C1858"/>
    <w:rsid w:val="001C3488"/>
    <w:rsid w:val="001C46F2"/>
    <w:rsid w:val="001C4F2F"/>
    <w:rsid w:val="001D7500"/>
    <w:rsid w:val="0022031A"/>
    <w:rsid w:val="00253FCC"/>
    <w:rsid w:val="00276177"/>
    <w:rsid w:val="002A610D"/>
    <w:rsid w:val="002B411B"/>
    <w:rsid w:val="002B5CA4"/>
    <w:rsid w:val="002D0103"/>
    <w:rsid w:val="002E3E7A"/>
    <w:rsid w:val="002E6364"/>
    <w:rsid w:val="002F4289"/>
    <w:rsid w:val="003012FE"/>
    <w:rsid w:val="003268BA"/>
    <w:rsid w:val="00351490"/>
    <w:rsid w:val="00364EBA"/>
    <w:rsid w:val="003812D1"/>
    <w:rsid w:val="0038538E"/>
    <w:rsid w:val="003A3E47"/>
    <w:rsid w:val="003B047B"/>
    <w:rsid w:val="003D1FC0"/>
    <w:rsid w:val="003E11FD"/>
    <w:rsid w:val="003E41C6"/>
    <w:rsid w:val="004014F1"/>
    <w:rsid w:val="00407B02"/>
    <w:rsid w:val="0043475E"/>
    <w:rsid w:val="00455410"/>
    <w:rsid w:val="004B694F"/>
    <w:rsid w:val="004D4025"/>
    <w:rsid w:val="004F0223"/>
    <w:rsid w:val="004F309C"/>
    <w:rsid w:val="0050097A"/>
    <w:rsid w:val="00511107"/>
    <w:rsid w:val="005169A8"/>
    <w:rsid w:val="0053490F"/>
    <w:rsid w:val="005361D0"/>
    <w:rsid w:val="005403C7"/>
    <w:rsid w:val="0057452D"/>
    <w:rsid w:val="00584894"/>
    <w:rsid w:val="005F79B1"/>
    <w:rsid w:val="00645174"/>
    <w:rsid w:val="006576C1"/>
    <w:rsid w:val="006A4890"/>
    <w:rsid w:val="006F44F9"/>
    <w:rsid w:val="0071310B"/>
    <w:rsid w:val="00724CDD"/>
    <w:rsid w:val="00747BEE"/>
    <w:rsid w:val="00764326"/>
    <w:rsid w:val="00776CFF"/>
    <w:rsid w:val="00776FEF"/>
    <w:rsid w:val="007F6D8C"/>
    <w:rsid w:val="008252E3"/>
    <w:rsid w:val="008474E1"/>
    <w:rsid w:val="00897AA3"/>
    <w:rsid w:val="008A1EB6"/>
    <w:rsid w:val="008C36E6"/>
    <w:rsid w:val="008F7618"/>
    <w:rsid w:val="009017F3"/>
    <w:rsid w:val="00913488"/>
    <w:rsid w:val="00927325"/>
    <w:rsid w:val="0093383D"/>
    <w:rsid w:val="00935DDE"/>
    <w:rsid w:val="00936ACA"/>
    <w:rsid w:val="00963EA6"/>
    <w:rsid w:val="009673A6"/>
    <w:rsid w:val="00967E2D"/>
    <w:rsid w:val="00995780"/>
    <w:rsid w:val="009A37AE"/>
    <w:rsid w:val="009C0400"/>
    <w:rsid w:val="009C3527"/>
    <w:rsid w:val="009D303D"/>
    <w:rsid w:val="00A162A6"/>
    <w:rsid w:val="00A66D6D"/>
    <w:rsid w:val="00A80FC4"/>
    <w:rsid w:val="00A830E0"/>
    <w:rsid w:val="00A9516D"/>
    <w:rsid w:val="00AA3C26"/>
    <w:rsid w:val="00AC390D"/>
    <w:rsid w:val="00AC76C2"/>
    <w:rsid w:val="00AE635A"/>
    <w:rsid w:val="00B536BE"/>
    <w:rsid w:val="00B609F9"/>
    <w:rsid w:val="00B63220"/>
    <w:rsid w:val="00BA3624"/>
    <w:rsid w:val="00C15BAA"/>
    <w:rsid w:val="00C166F7"/>
    <w:rsid w:val="00C44FF3"/>
    <w:rsid w:val="00C70874"/>
    <w:rsid w:val="00CC4668"/>
    <w:rsid w:val="00CD2D2D"/>
    <w:rsid w:val="00CE152A"/>
    <w:rsid w:val="00CE4364"/>
    <w:rsid w:val="00D164AA"/>
    <w:rsid w:val="00D17D86"/>
    <w:rsid w:val="00D234B4"/>
    <w:rsid w:val="00D269E4"/>
    <w:rsid w:val="00D31153"/>
    <w:rsid w:val="00D34E94"/>
    <w:rsid w:val="00D46A5E"/>
    <w:rsid w:val="00D520F6"/>
    <w:rsid w:val="00D6367E"/>
    <w:rsid w:val="00D87610"/>
    <w:rsid w:val="00DC141D"/>
    <w:rsid w:val="00DE1662"/>
    <w:rsid w:val="00E17628"/>
    <w:rsid w:val="00E22D61"/>
    <w:rsid w:val="00E24EE6"/>
    <w:rsid w:val="00E47136"/>
    <w:rsid w:val="00E53A36"/>
    <w:rsid w:val="00E57DA4"/>
    <w:rsid w:val="00E70ECD"/>
    <w:rsid w:val="00E95AC2"/>
    <w:rsid w:val="00E968C2"/>
    <w:rsid w:val="00EA752C"/>
    <w:rsid w:val="00EC4256"/>
    <w:rsid w:val="00ED3CB1"/>
    <w:rsid w:val="00EF68B8"/>
    <w:rsid w:val="00F21AA0"/>
    <w:rsid w:val="00F47433"/>
    <w:rsid w:val="00F47550"/>
    <w:rsid w:val="00F86117"/>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7685D-0366-4663-8A45-B2AB1B27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6AC34-8A34-48AA-890E-BA59AFD88B47}">
  <ds:schemaRefs>
    <ds:schemaRef ds:uri="http://schemas.microsoft.com/sharepoint/v3/contenttype/forms"/>
  </ds:schemaRefs>
</ds:datastoreItem>
</file>

<file path=customXml/itemProps3.xml><?xml version="1.0" encoding="utf-8"?>
<ds:datastoreItem xmlns:ds="http://schemas.openxmlformats.org/officeDocument/2006/customXml" ds:itemID="{98BA250E-1143-4551-B159-154D4015FE4C}">
  <ds:schemaRef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baf45800-202a-4d04-9eb1-dcead2d857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2020-04-03T16:34:00Z</dcterms:created>
  <dcterms:modified xsi:type="dcterms:W3CDTF">2020-04-03T16:34:00Z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