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r w:rsidRPr="009C1048">
        <w:rPr>
          <w:rFonts w:eastAsia="Times New Roman"/>
          <w:b/>
          <w:sz w:val="28"/>
          <w:szCs w:val="28"/>
        </w:rPr>
        <w:t>University Curriculum and Academic Affairs Committee</w:t>
      </w:r>
    </w:p>
    <w:bookmarkEnd w:id="0"/>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4E2FE64B" w:rsidR="00351490" w:rsidRDefault="081EA8A9" w:rsidP="081EA8A9">
      <w:pPr>
        <w:spacing w:after="0" w:line="240" w:lineRule="auto"/>
        <w:jc w:val="center"/>
        <w:rPr>
          <w:rFonts w:eastAsia="Times New Roman"/>
          <w:b/>
          <w:bCs/>
          <w:sz w:val="28"/>
          <w:szCs w:val="28"/>
        </w:rPr>
      </w:pPr>
      <w:r w:rsidRPr="081EA8A9">
        <w:rPr>
          <w:b/>
          <w:bCs/>
        </w:rPr>
        <w:t xml:space="preserve">Meeting # </w:t>
      </w:r>
      <w:r w:rsidR="009673A6">
        <w:rPr>
          <w:b/>
          <w:bCs/>
        </w:rPr>
        <w:t>1</w:t>
      </w:r>
    </w:p>
    <w:p w14:paraId="6B551E9D" w14:textId="7FDA275D" w:rsidR="00351490" w:rsidRPr="007B4915" w:rsidRDefault="00995780" w:rsidP="081EA8A9">
      <w:pPr>
        <w:spacing w:after="0" w:line="240" w:lineRule="auto"/>
        <w:jc w:val="center"/>
        <w:rPr>
          <w:b/>
          <w:bCs/>
        </w:rPr>
      </w:pPr>
      <w:r>
        <w:rPr>
          <w:b/>
          <w:bCs/>
        </w:rPr>
        <w:t>A</w:t>
      </w:r>
      <w:r w:rsidR="009673A6">
        <w:rPr>
          <w:b/>
          <w:bCs/>
        </w:rPr>
        <w:t>ugust 27</w:t>
      </w:r>
      <w:r w:rsidR="081EA8A9" w:rsidRPr="081EA8A9">
        <w:rPr>
          <w:b/>
          <w:bCs/>
        </w:rPr>
        <w:t>, 2019</w:t>
      </w:r>
    </w:p>
    <w:p w14:paraId="047C8F08" w14:textId="77777777" w:rsidR="00351490" w:rsidRPr="007B4915" w:rsidRDefault="00351490" w:rsidP="00351490">
      <w:pPr>
        <w:spacing w:after="0" w:line="240" w:lineRule="auto"/>
        <w:jc w:val="center"/>
        <w:rPr>
          <w:b/>
        </w:rPr>
      </w:pPr>
      <w:r w:rsidRPr="007B4915">
        <w:rPr>
          <w:b/>
        </w:rPr>
        <w:t>Stalker Hall, Room 211</w:t>
      </w:r>
    </w:p>
    <w:p w14:paraId="38B4F77C" w14:textId="577861D2" w:rsidR="009D303D" w:rsidRPr="00276177" w:rsidRDefault="00351490" w:rsidP="00276177">
      <w:pPr>
        <w:rPr>
          <w:rFonts w:ascii="Times New Roman" w:eastAsia="Times New Roman" w:hAnsi="Times New Roman" w:cs="Times New Roman"/>
          <w:sz w:val="24"/>
          <w:szCs w:val="24"/>
        </w:rPr>
      </w:pPr>
      <w:r w:rsidRPr="009C1048">
        <w:rPr>
          <w:b/>
        </w:rPr>
        <w:t>CAAC Members Present</w:t>
      </w:r>
      <w:r>
        <w:t xml:space="preserve">: </w:t>
      </w:r>
      <w:r w:rsidR="009C0400" w:rsidRPr="009C0400">
        <w:t xml:space="preserve">Renee Bauer, Dan Clark, Margaret Hill, Jeff </w:t>
      </w:r>
      <w:proofErr w:type="spellStart"/>
      <w:r w:rsidR="009C0400" w:rsidRPr="009C0400">
        <w:t>Kinne</w:t>
      </w:r>
      <w:proofErr w:type="spellEnd"/>
      <w:r w:rsidR="009C0400" w:rsidRPr="009C0400">
        <w:t xml:space="preserve">, Winnie Ko, Andrew Payne, Blake Rayfield, Brian Schaefer, Edith </w:t>
      </w:r>
      <w:proofErr w:type="spellStart"/>
      <w:r w:rsidR="009C0400" w:rsidRPr="009C0400">
        <w:t>Wittenmyer</w:t>
      </w:r>
      <w:proofErr w:type="spellEnd"/>
      <w:r w:rsidR="00276177">
        <w:rPr>
          <w:rFonts w:ascii="Times New Roman" w:eastAsia="Times New Roman" w:hAnsi="Times New Roman" w:cs="Times New Roman"/>
          <w:sz w:val="24"/>
          <w:szCs w:val="24"/>
        </w:rPr>
        <w:br/>
      </w:r>
      <w:r w:rsidRPr="009C1048">
        <w:rPr>
          <w:b/>
        </w:rPr>
        <w:t>Absent:</w:t>
      </w:r>
      <w:r w:rsidR="005F79B1">
        <w:t xml:space="preserve"> </w:t>
      </w:r>
      <w:r w:rsidR="00276177">
        <w:t>-</w:t>
      </w:r>
      <w:r w:rsidR="00276177">
        <w:rPr>
          <w:rFonts w:ascii="Times New Roman" w:eastAsia="Times New Roman" w:hAnsi="Times New Roman" w:cs="Times New Roman"/>
          <w:sz w:val="24"/>
          <w:szCs w:val="24"/>
        </w:rPr>
        <w:br/>
      </w:r>
      <w:r>
        <w:rPr>
          <w:b/>
        </w:rPr>
        <w:t>Guest</w:t>
      </w:r>
      <w:r w:rsidR="005F79B1">
        <w:t xml:space="preserve">: </w:t>
      </w:r>
      <w:r w:rsidR="00276177">
        <w:t>-</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w:t>
      </w:r>
      <w:proofErr w:type="spellStart"/>
      <w:r w:rsidR="0057452D">
        <w:t>Nesser</w:t>
      </w:r>
      <w:proofErr w:type="spellEnd"/>
      <w:r w:rsidR="0057452D">
        <w:t xml:space="preserve">, Angie Smith.  Absent but keep on the weekly invitation – Linda Maule, Susan </w:t>
      </w:r>
      <w:proofErr w:type="gramStart"/>
      <w:r w:rsidR="0057452D">
        <w:t>Powers</w:t>
      </w:r>
      <w:r w:rsidR="009C0400">
        <w:t xml:space="preserve"> </w:t>
      </w:r>
      <w:r w:rsidR="0057452D">
        <w:t>,</w:t>
      </w:r>
      <w:proofErr w:type="gramEnd"/>
      <w:r w:rsidR="0057452D">
        <w:t xml:space="preserve"> </w:t>
      </w:r>
      <w:r w:rsidR="009C0400">
        <w:t xml:space="preserve">Jim Smallwood, Linda Sperry, </w:t>
      </w:r>
      <w:r w:rsidR="009C0400" w:rsidRPr="00BA42E1">
        <w:t>Kelly Wilkinson</w:t>
      </w:r>
      <w:r w:rsidR="009C0400">
        <w:t xml:space="preserve">, </w:t>
      </w:r>
      <w:r w:rsidR="009C0400" w:rsidRPr="00BA42E1">
        <w:t>Bassam Yousif</w:t>
      </w:r>
    </w:p>
    <w:tbl>
      <w:tblPr>
        <w:tblStyle w:val="TableGrid"/>
        <w:tblW w:w="9805" w:type="dxa"/>
        <w:tblLook w:val="04A0" w:firstRow="1" w:lastRow="0" w:firstColumn="1" w:lastColumn="0" w:noHBand="0" w:noVBand="1"/>
      </w:tblPr>
      <w:tblGrid>
        <w:gridCol w:w="2231"/>
        <w:gridCol w:w="5046"/>
        <w:gridCol w:w="2528"/>
      </w:tblGrid>
      <w:tr w:rsidR="009017F3" w14:paraId="56530705" w14:textId="77777777" w:rsidTr="001C4F2F">
        <w:tc>
          <w:tcPr>
            <w:tcW w:w="2297"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5798"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1710"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1C4F2F">
        <w:tc>
          <w:tcPr>
            <w:tcW w:w="2297"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5798" w:type="dxa"/>
          </w:tcPr>
          <w:p w14:paraId="672A6659" w14:textId="3E3B42C7" w:rsidR="005F79B1" w:rsidRDefault="009673A6" w:rsidP="008F7618">
            <w:r>
              <w:t>Convener</w:t>
            </w:r>
            <w:r w:rsidR="009017F3">
              <w:t xml:space="preserve"> </w:t>
            </w:r>
            <w:r>
              <w:t>J. Kinne</w:t>
            </w:r>
            <w:r w:rsidR="009017F3">
              <w:t xml:space="preserve"> </w:t>
            </w:r>
            <w:r w:rsidR="005F79B1">
              <w:t>called meeting to order at</w:t>
            </w:r>
            <w:r w:rsidR="00012380">
              <w:t xml:space="preserve"> </w:t>
            </w:r>
            <w:r w:rsidR="005F79B1">
              <w:t xml:space="preserve"> </w:t>
            </w:r>
            <w:r w:rsidR="00DC141D">
              <w:t>12:</w:t>
            </w:r>
            <w:r>
              <w:t>30</w:t>
            </w:r>
          </w:p>
        </w:tc>
        <w:tc>
          <w:tcPr>
            <w:tcW w:w="1710" w:type="dxa"/>
          </w:tcPr>
          <w:p w14:paraId="0A37501D" w14:textId="77777777" w:rsidR="009017F3" w:rsidRDefault="009017F3" w:rsidP="008F7618"/>
        </w:tc>
      </w:tr>
      <w:tr w:rsidR="000F6CD0" w14:paraId="5DAB6C7B" w14:textId="77777777" w:rsidTr="001C4F2F">
        <w:tc>
          <w:tcPr>
            <w:tcW w:w="2297"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5798" w:type="dxa"/>
            <w:shd w:val="clear" w:color="auto" w:fill="BDD6EE" w:themeFill="accent1" w:themeFillTint="66"/>
          </w:tcPr>
          <w:p w14:paraId="6A05A809" w14:textId="77777777" w:rsidR="000F6CD0" w:rsidRDefault="000F6CD0" w:rsidP="008F7618"/>
        </w:tc>
        <w:tc>
          <w:tcPr>
            <w:tcW w:w="1710" w:type="dxa"/>
            <w:shd w:val="clear" w:color="auto" w:fill="BDD6EE" w:themeFill="accent1" w:themeFillTint="66"/>
          </w:tcPr>
          <w:p w14:paraId="5A39BBE3" w14:textId="77777777" w:rsidR="000F6CD0" w:rsidRDefault="000F6CD0" w:rsidP="008F7618"/>
        </w:tc>
      </w:tr>
      <w:tr w:rsidR="009017F3" w14:paraId="12B55489" w14:textId="77777777" w:rsidTr="001C4F2F">
        <w:tc>
          <w:tcPr>
            <w:tcW w:w="2297" w:type="dxa"/>
          </w:tcPr>
          <w:p w14:paraId="15EB67AA" w14:textId="77777777" w:rsidR="009017F3" w:rsidRPr="00FA454B" w:rsidRDefault="009017F3" w:rsidP="00FA454B">
            <w:pPr>
              <w:pStyle w:val="ListParagraph"/>
              <w:numPr>
                <w:ilvl w:val="0"/>
                <w:numId w:val="3"/>
              </w:numPr>
              <w:rPr>
                <w:b/>
                <w:sz w:val="24"/>
                <w:szCs w:val="24"/>
              </w:rPr>
            </w:pPr>
            <w:r w:rsidRPr="00FA454B">
              <w:rPr>
                <w:b/>
                <w:sz w:val="24"/>
                <w:szCs w:val="24"/>
              </w:rPr>
              <w:t>Approval of Minutes</w:t>
            </w:r>
          </w:p>
        </w:tc>
        <w:tc>
          <w:tcPr>
            <w:tcW w:w="5798" w:type="dxa"/>
          </w:tcPr>
          <w:p w14:paraId="75EF678D" w14:textId="005A5213" w:rsidR="00D87610" w:rsidRDefault="009673A6" w:rsidP="008F7618">
            <w:r>
              <w:t>NA</w:t>
            </w:r>
          </w:p>
        </w:tc>
        <w:tc>
          <w:tcPr>
            <w:tcW w:w="1710" w:type="dxa"/>
          </w:tcPr>
          <w:p w14:paraId="1C41E98C" w14:textId="240B4645" w:rsidR="00351490" w:rsidRDefault="00351490" w:rsidP="00D31153"/>
        </w:tc>
      </w:tr>
      <w:tr w:rsidR="009017F3" w14:paraId="41C8F396" w14:textId="77777777" w:rsidTr="001C4F2F">
        <w:tc>
          <w:tcPr>
            <w:tcW w:w="2297" w:type="dxa"/>
            <w:shd w:val="clear" w:color="auto" w:fill="BDD6EE" w:themeFill="accent1" w:themeFillTint="66"/>
          </w:tcPr>
          <w:p w14:paraId="72A3D3EC" w14:textId="77777777" w:rsidR="009017F3" w:rsidRPr="00877C3F" w:rsidRDefault="009017F3" w:rsidP="008F7618">
            <w:pPr>
              <w:rPr>
                <w:b/>
                <w:sz w:val="24"/>
                <w:szCs w:val="24"/>
              </w:rPr>
            </w:pPr>
          </w:p>
        </w:tc>
        <w:tc>
          <w:tcPr>
            <w:tcW w:w="5798" w:type="dxa"/>
            <w:shd w:val="clear" w:color="auto" w:fill="BDD6EE" w:themeFill="accent1" w:themeFillTint="66"/>
          </w:tcPr>
          <w:p w14:paraId="0D0B940D" w14:textId="77777777" w:rsidR="009017F3" w:rsidRDefault="009017F3" w:rsidP="008F7618"/>
        </w:tc>
        <w:tc>
          <w:tcPr>
            <w:tcW w:w="1710" w:type="dxa"/>
            <w:shd w:val="clear" w:color="auto" w:fill="BDD6EE" w:themeFill="accent1" w:themeFillTint="66"/>
          </w:tcPr>
          <w:p w14:paraId="0E27B00A" w14:textId="77777777" w:rsidR="009017F3" w:rsidRDefault="009017F3" w:rsidP="008F7618"/>
        </w:tc>
      </w:tr>
      <w:tr w:rsidR="009017F3" w14:paraId="6AA5EDA5" w14:textId="77777777" w:rsidTr="001C4F2F">
        <w:tc>
          <w:tcPr>
            <w:tcW w:w="2297" w:type="dxa"/>
          </w:tcPr>
          <w:p w14:paraId="2330285E" w14:textId="5A3E42D9" w:rsidR="009017F3" w:rsidRPr="00995780" w:rsidRDefault="00995780" w:rsidP="00995780">
            <w:pPr>
              <w:pStyle w:val="ListParagraph"/>
              <w:numPr>
                <w:ilvl w:val="0"/>
                <w:numId w:val="3"/>
              </w:numPr>
              <w:rPr>
                <w:b/>
                <w:bCs/>
              </w:rPr>
            </w:pPr>
            <w:r w:rsidRPr="00995780">
              <w:rPr>
                <w:b/>
              </w:rPr>
              <w:t xml:space="preserve">Approval of </w:t>
            </w:r>
            <w:r w:rsidR="009673A6">
              <w:rPr>
                <w:b/>
              </w:rPr>
              <w:t xml:space="preserve"> ___</w:t>
            </w:r>
          </w:p>
          <w:p w14:paraId="49CFEFCD" w14:textId="11921EDB" w:rsidR="009017F3" w:rsidRPr="008521ED" w:rsidRDefault="009017F3" w:rsidP="1C078F83">
            <w:pPr>
              <w:ind w:left="360"/>
            </w:pPr>
          </w:p>
        </w:tc>
        <w:tc>
          <w:tcPr>
            <w:tcW w:w="5798" w:type="dxa"/>
          </w:tcPr>
          <w:p w14:paraId="02C3BEC1" w14:textId="60E53F11" w:rsidR="00351490" w:rsidRPr="007B4915" w:rsidRDefault="009673A6" w:rsidP="1A074E58">
            <w:r>
              <w:t>NA</w:t>
            </w:r>
          </w:p>
          <w:p w14:paraId="60061E4C" w14:textId="14D5763B" w:rsidR="00351490" w:rsidRPr="007B4915" w:rsidRDefault="00351490" w:rsidP="1C078F83"/>
        </w:tc>
        <w:tc>
          <w:tcPr>
            <w:tcW w:w="1710" w:type="dxa"/>
          </w:tcPr>
          <w:p w14:paraId="44EAFD9C" w14:textId="55B16590" w:rsidR="009017F3" w:rsidRDefault="009017F3" w:rsidP="00967E2D"/>
        </w:tc>
      </w:tr>
      <w:tr w:rsidR="005F79B1" w14:paraId="4B94D5A5" w14:textId="77777777" w:rsidTr="001C4F2F">
        <w:tc>
          <w:tcPr>
            <w:tcW w:w="2297" w:type="dxa"/>
            <w:shd w:val="clear" w:color="auto" w:fill="BDD6EE" w:themeFill="accent1" w:themeFillTint="66"/>
          </w:tcPr>
          <w:p w14:paraId="3DEEC669" w14:textId="77777777" w:rsidR="005F79B1" w:rsidRDefault="005F79B1" w:rsidP="008F7618">
            <w:pPr>
              <w:rPr>
                <w:rFonts w:ascii="Times New Roman" w:eastAsia="Times New Roman" w:hAnsi="Times New Roman" w:cs="Times New Roman"/>
                <w:color w:val="000000"/>
                <w:sz w:val="24"/>
                <w:szCs w:val="24"/>
              </w:rPr>
            </w:pPr>
          </w:p>
        </w:tc>
        <w:tc>
          <w:tcPr>
            <w:tcW w:w="5798" w:type="dxa"/>
            <w:shd w:val="clear" w:color="auto" w:fill="BDD6EE" w:themeFill="accent1" w:themeFillTint="66"/>
          </w:tcPr>
          <w:p w14:paraId="3656B9AB" w14:textId="77777777" w:rsidR="005F79B1" w:rsidRPr="00877C3F" w:rsidRDefault="005F79B1" w:rsidP="008F7618">
            <w:pPr>
              <w:rPr>
                <w:b/>
              </w:rPr>
            </w:pPr>
          </w:p>
        </w:tc>
        <w:tc>
          <w:tcPr>
            <w:tcW w:w="1710" w:type="dxa"/>
            <w:shd w:val="clear" w:color="auto" w:fill="BDD6EE" w:themeFill="accent1" w:themeFillTint="66"/>
          </w:tcPr>
          <w:p w14:paraId="45FB0818" w14:textId="77777777" w:rsidR="005F79B1" w:rsidRDefault="005F79B1" w:rsidP="008F7618"/>
        </w:tc>
      </w:tr>
      <w:tr w:rsidR="009017F3" w14:paraId="2D255667" w14:textId="77777777" w:rsidTr="001C4F2F">
        <w:tc>
          <w:tcPr>
            <w:tcW w:w="2297" w:type="dxa"/>
          </w:tcPr>
          <w:p w14:paraId="1299C43A" w14:textId="020C3F3D" w:rsidR="009017F3" w:rsidRPr="009673A6" w:rsidRDefault="1A074E58" w:rsidP="008F7618">
            <w:pPr>
              <w:pStyle w:val="ListParagraph"/>
              <w:numPr>
                <w:ilvl w:val="0"/>
                <w:numId w:val="3"/>
              </w:numPr>
              <w:rPr>
                <w:b/>
                <w:bCs/>
                <w:color w:val="000000" w:themeColor="text1"/>
              </w:rPr>
            </w:pPr>
            <w:r w:rsidRPr="1A074E58">
              <w:rPr>
                <w:b/>
                <w:bCs/>
                <w:sz w:val="24"/>
                <w:szCs w:val="24"/>
              </w:rPr>
              <w:t>Review of</w:t>
            </w:r>
            <w:r w:rsidR="009673A6">
              <w:rPr>
                <w:b/>
                <w:bCs/>
                <w:sz w:val="24"/>
                <w:szCs w:val="24"/>
              </w:rPr>
              <w:t xml:space="preserve"> ___</w:t>
            </w:r>
          </w:p>
          <w:p w14:paraId="4DDBEF00" w14:textId="78AB294F" w:rsidR="009017F3" w:rsidRPr="00637E20" w:rsidRDefault="009017F3" w:rsidP="008F7618"/>
        </w:tc>
        <w:tc>
          <w:tcPr>
            <w:tcW w:w="5798" w:type="dxa"/>
          </w:tcPr>
          <w:p w14:paraId="3461D779" w14:textId="4B459162" w:rsidR="00022204" w:rsidRPr="00FA454B" w:rsidRDefault="009673A6" w:rsidP="1A074E58">
            <w:pPr>
              <w:rPr>
                <w:rFonts w:ascii="Calibri" w:eastAsia="Calibri" w:hAnsi="Calibri" w:cs="Calibri"/>
                <w:sz w:val="24"/>
                <w:szCs w:val="24"/>
              </w:rPr>
            </w:pPr>
            <w:r>
              <w:rPr>
                <w:rFonts w:ascii="Calibri" w:eastAsia="Calibri" w:hAnsi="Calibri" w:cs="Calibri"/>
                <w:sz w:val="24"/>
                <w:szCs w:val="24"/>
              </w:rPr>
              <w:t>NA</w:t>
            </w:r>
          </w:p>
        </w:tc>
        <w:tc>
          <w:tcPr>
            <w:tcW w:w="1710" w:type="dxa"/>
          </w:tcPr>
          <w:p w14:paraId="3CF2D8B6" w14:textId="77777777" w:rsidR="009017F3" w:rsidRDefault="009017F3" w:rsidP="008F7618"/>
        </w:tc>
      </w:tr>
      <w:tr w:rsidR="006A4890" w14:paraId="26FCC3A4" w14:textId="77777777" w:rsidTr="001C4F2F">
        <w:tc>
          <w:tcPr>
            <w:tcW w:w="2297" w:type="dxa"/>
          </w:tcPr>
          <w:p w14:paraId="7639ACF8" w14:textId="097A47C3" w:rsidR="006A4890" w:rsidRPr="1A074E58" w:rsidRDefault="006A4890" w:rsidP="008F7618">
            <w:pPr>
              <w:pStyle w:val="ListParagraph"/>
              <w:numPr>
                <w:ilvl w:val="0"/>
                <w:numId w:val="3"/>
              </w:numPr>
              <w:rPr>
                <w:b/>
                <w:bCs/>
                <w:sz w:val="24"/>
                <w:szCs w:val="24"/>
              </w:rPr>
            </w:pPr>
            <w:r>
              <w:rPr>
                <w:b/>
                <w:bCs/>
                <w:sz w:val="24"/>
                <w:szCs w:val="24"/>
              </w:rPr>
              <w:t>Election of Officers</w:t>
            </w:r>
          </w:p>
        </w:tc>
        <w:tc>
          <w:tcPr>
            <w:tcW w:w="5798" w:type="dxa"/>
          </w:tcPr>
          <w:p w14:paraId="2D8E5747" w14:textId="77777777" w:rsidR="006A4890" w:rsidRDefault="006A4890" w:rsidP="006A4890">
            <w:r>
              <w:t xml:space="preserve">There was discussion of the roles of the officers.  </w:t>
            </w:r>
          </w:p>
          <w:p w14:paraId="48B7006E" w14:textId="77777777" w:rsidR="006A4890" w:rsidRDefault="006A4890" w:rsidP="006A4890"/>
          <w:p w14:paraId="2F985A4C" w14:textId="77777777" w:rsidR="006A4890" w:rsidRDefault="006A4890" w:rsidP="006A4890">
            <w:r>
              <w:t>Andrew nominates Winnie as chair, Dan seconds.  Winnie accepts the nomination.  Jeff motions closing nominations, Dan seconds.</w:t>
            </w:r>
          </w:p>
          <w:p w14:paraId="02CCE364" w14:textId="77777777" w:rsidR="006A4890" w:rsidRDefault="006A4890" w:rsidP="006A4890"/>
          <w:p w14:paraId="093C1546" w14:textId="77777777" w:rsidR="006A4890" w:rsidRDefault="006A4890" w:rsidP="006A4890">
            <w:r>
              <w:t xml:space="preserve">Jeff nominate Edith as vice chair, Andrew seconds.  Jeff motions closing nominations, Brian seconds.  </w:t>
            </w:r>
          </w:p>
          <w:p w14:paraId="6108DCC5" w14:textId="77777777" w:rsidR="006A4890" w:rsidRDefault="006A4890" w:rsidP="006A4890"/>
          <w:p w14:paraId="2C0A6732" w14:textId="77777777" w:rsidR="006A4890" w:rsidRDefault="006A4890" w:rsidP="006A4890">
            <w:r>
              <w:t xml:space="preserve">Renee nominates Dan for secretary, Edith seconds.  Jeff motions closing nominations, Brian second.  </w:t>
            </w:r>
          </w:p>
          <w:p w14:paraId="2625BA77" w14:textId="77777777" w:rsidR="006A4890" w:rsidRDefault="006A4890" w:rsidP="006A4890"/>
          <w:p w14:paraId="1DAD9909" w14:textId="7E2D4BFB" w:rsidR="006A4890" w:rsidRPr="006A4890" w:rsidRDefault="006A4890" w:rsidP="1A074E58">
            <w:r>
              <w:t xml:space="preserve">The officers are: chair Winnie Ko, vice chair Edith </w:t>
            </w:r>
            <w:proofErr w:type="spellStart"/>
            <w:r>
              <w:t>Wittenmyer</w:t>
            </w:r>
            <w:proofErr w:type="spellEnd"/>
            <w:r>
              <w:t>, secretary Dan Clark</w:t>
            </w:r>
          </w:p>
        </w:tc>
        <w:tc>
          <w:tcPr>
            <w:tcW w:w="1710" w:type="dxa"/>
          </w:tcPr>
          <w:p w14:paraId="27D4BA53" w14:textId="77777777" w:rsidR="006A4890" w:rsidRDefault="006A4890" w:rsidP="008F7618"/>
        </w:tc>
      </w:tr>
      <w:tr w:rsidR="006A4890" w14:paraId="6840E6BF" w14:textId="77777777" w:rsidTr="001C4F2F">
        <w:tc>
          <w:tcPr>
            <w:tcW w:w="2297" w:type="dxa"/>
          </w:tcPr>
          <w:p w14:paraId="5EBB7A54" w14:textId="1FC00A2E" w:rsidR="006A4890" w:rsidRDefault="006A4890" w:rsidP="008F7618">
            <w:pPr>
              <w:pStyle w:val="ListParagraph"/>
              <w:numPr>
                <w:ilvl w:val="0"/>
                <w:numId w:val="3"/>
              </w:numPr>
              <w:rPr>
                <w:b/>
                <w:bCs/>
                <w:sz w:val="24"/>
                <w:szCs w:val="24"/>
              </w:rPr>
            </w:pPr>
            <w:r>
              <w:rPr>
                <w:b/>
                <w:bCs/>
                <w:sz w:val="24"/>
                <w:szCs w:val="24"/>
              </w:rPr>
              <w:t>Discussion of Charges</w:t>
            </w:r>
          </w:p>
        </w:tc>
        <w:tc>
          <w:tcPr>
            <w:tcW w:w="5798" w:type="dxa"/>
          </w:tcPr>
          <w:p w14:paraId="6CDB434C" w14:textId="63E33724" w:rsidR="006A4890" w:rsidRDefault="006A4890" w:rsidP="006A4890">
            <w:r>
              <w:t xml:space="preserve">Charges from Senate Exec – </w:t>
            </w:r>
          </w:p>
          <w:p w14:paraId="5D7E4D1A" w14:textId="77777777" w:rsidR="006A4890" w:rsidRDefault="006A4890" w:rsidP="006A4890">
            <w:pPr>
              <w:rPr>
                <w:rFonts w:ascii="Times New Roman ,serif" w:hAnsi="Times New Roman ,serif" w:cs="Times New Roman ,serif"/>
              </w:rPr>
            </w:pPr>
          </w:p>
          <w:p w14:paraId="5D4E140D" w14:textId="1C12BD00" w:rsidR="006A4890" w:rsidRPr="006A4890" w:rsidRDefault="006A4890" w:rsidP="006A4890">
            <w:pPr>
              <w:pStyle w:val="ListParagraph"/>
              <w:numPr>
                <w:ilvl w:val="0"/>
                <w:numId w:val="6"/>
              </w:numPr>
            </w:pPr>
            <w:r w:rsidRPr="006A4890">
              <w:rPr>
                <w:rFonts w:ascii="Times New Roman ,serif" w:hAnsi="Times New Roman ,serif" w:cs="Times New Roman ,serif"/>
              </w:rPr>
              <w:t>Continue with regular reports to the Faculty Senate on undergraduate curricular proposals.</w:t>
            </w:r>
          </w:p>
          <w:p w14:paraId="11F8D7C7" w14:textId="77777777" w:rsidR="006A4890" w:rsidRPr="006A4890" w:rsidRDefault="006A4890" w:rsidP="006A4890">
            <w:pPr>
              <w:pStyle w:val="ListParagraph"/>
              <w:numPr>
                <w:ilvl w:val="0"/>
                <w:numId w:val="6"/>
              </w:numPr>
            </w:pPr>
            <w:r w:rsidRPr="006A4890">
              <w:rPr>
                <w:rFonts w:ascii="Times New Roman ,serif" w:hAnsi="Times New Roman ,serif" w:cs="Times New Roman ,serif"/>
              </w:rPr>
              <w:t xml:space="preserve">Maintain due diligence in tracking enrollment and graduation rates of new programs, </w:t>
            </w:r>
            <w:r w:rsidRPr="006A4890">
              <w:rPr>
                <w:rFonts w:ascii="Times New Roman ,serif" w:hAnsi="Times New Roman ,serif" w:cs="Times New Roman ,serif"/>
              </w:rPr>
              <w:lastRenderedPageBreak/>
              <w:t>coordinating with Graduate Council on graduate programs.</w:t>
            </w:r>
          </w:p>
          <w:p w14:paraId="29C4DF33" w14:textId="77777777" w:rsidR="006A4890" w:rsidRPr="006A4890" w:rsidRDefault="006A4890" w:rsidP="006A4890">
            <w:pPr>
              <w:pStyle w:val="ListParagraph"/>
              <w:numPr>
                <w:ilvl w:val="0"/>
                <w:numId w:val="6"/>
              </w:numPr>
            </w:pPr>
            <w:r w:rsidRPr="006A4890">
              <w:rPr>
                <w:rFonts w:ascii="Times New Roman ,serif" w:hAnsi="Times New Roman ,serif" w:cs="Times New Roman ,serif"/>
              </w:rPr>
              <w:t>Review progress of Career Readiness in the curriculum</w:t>
            </w:r>
          </w:p>
          <w:p w14:paraId="0B0F5109" w14:textId="00B36D84" w:rsidR="006A4890" w:rsidRPr="006A4890" w:rsidRDefault="006A4890" w:rsidP="006A4890">
            <w:pPr>
              <w:pStyle w:val="ListParagraph"/>
              <w:numPr>
                <w:ilvl w:val="0"/>
                <w:numId w:val="6"/>
              </w:numPr>
            </w:pPr>
            <w:r w:rsidRPr="006A4890">
              <w:rPr>
                <w:rFonts w:ascii="Times New Roman ,serif" w:hAnsi="Times New Roman ,serif" w:cs="Times New Roman ,serif"/>
              </w:rPr>
              <w:t>Produce and submit an annual report in time for the final Senate meeting of 2019-20.   </w:t>
            </w:r>
          </w:p>
          <w:p w14:paraId="7E7D0717" w14:textId="541D5A52" w:rsidR="006A4890" w:rsidRDefault="006A4890" w:rsidP="006A4890"/>
          <w:p w14:paraId="7CA95171" w14:textId="2F721E50" w:rsidR="006A4890" w:rsidRDefault="006A4890" w:rsidP="006A4890">
            <w:r>
              <w:t>Charge 2 – CAAC reviewed two years ago – exec committee discussed and reviewed; not much direction was given on what CAAC should do with this.  Senate Exec might provide a bit more direction on this charge.</w:t>
            </w:r>
          </w:p>
          <w:p w14:paraId="06A668C5" w14:textId="77777777" w:rsidR="006A4890" w:rsidRDefault="006A4890" w:rsidP="006A4890"/>
          <w:p w14:paraId="051ECFB6" w14:textId="36AB4A78" w:rsidR="006A4890" w:rsidRDefault="006A4890" w:rsidP="006A4890">
            <w:r>
              <w:t xml:space="preserve">Charge 3 – was not a charge last year.  Recollection is that this had been a charge at one point in the past but not much had been done with.  There was some discussion at Senate Exec in the spring, some discontent about how things have been handled.  The Career Center and Community Engagement are planning to get more faculty input, possibly from this committee as well.  </w:t>
            </w:r>
            <w:r w:rsidR="00E22D61">
              <w:t xml:space="preserve">Some undergrads sign up for the Career Readiness Certificate but then haven’t completed it and need to have ORR take it off of their transcript in order </w:t>
            </w:r>
            <w:r w:rsidR="00017E93">
              <w:t>for them to graduate.</w:t>
            </w:r>
          </w:p>
          <w:p w14:paraId="5950CAF8" w14:textId="7EB698BA" w:rsidR="006A4890" w:rsidRDefault="006A4890" w:rsidP="006A4890"/>
        </w:tc>
        <w:tc>
          <w:tcPr>
            <w:tcW w:w="1710" w:type="dxa"/>
          </w:tcPr>
          <w:p w14:paraId="0B877FDD" w14:textId="77777777" w:rsidR="006A4890" w:rsidRDefault="006A4890" w:rsidP="008F7618"/>
        </w:tc>
      </w:tr>
      <w:tr w:rsidR="009673A6" w14:paraId="439A79B6" w14:textId="77777777" w:rsidTr="001C4F2F">
        <w:tc>
          <w:tcPr>
            <w:tcW w:w="2297" w:type="dxa"/>
            <w:shd w:val="clear" w:color="auto" w:fill="BDD6EE" w:themeFill="accent1" w:themeFillTint="66"/>
          </w:tcPr>
          <w:p w14:paraId="1DCE8CDC" w14:textId="7376CC62" w:rsidR="009673A6" w:rsidRPr="00FA454B" w:rsidRDefault="009673A6" w:rsidP="1C078F83">
            <w:pPr>
              <w:ind w:left="360"/>
              <w:rPr>
                <w:rFonts w:eastAsia="Times New Roman" w:cs="Times New Roman"/>
                <w:b/>
                <w:bCs/>
                <w:color w:val="000000" w:themeColor="text1"/>
              </w:rPr>
            </w:pPr>
          </w:p>
        </w:tc>
        <w:tc>
          <w:tcPr>
            <w:tcW w:w="5798" w:type="dxa"/>
            <w:shd w:val="clear" w:color="auto" w:fill="BDD6EE" w:themeFill="accent1" w:themeFillTint="66"/>
          </w:tcPr>
          <w:p w14:paraId="0FB78278" w14:textId="59F88F4E" w:rsidR="009673A6" w:rsidRDefault="009673A6" w:rsidP="1A074E58">
            <w:pPr>
              <w:rPr>
                <w:rFonts w:ascii="Calibri" w:eastAsia="Calibri" w:hAnsi="Calibri" w:cs="Calibri"/>
                <w:sz w:val="24"/>
                <w:szCs w:val="24"/>
              </w:rPr>
            </w:pPr>
          </w:p>
        </w:tc>
        <w:tc>
          <w:tcPr>
            <w:tcW w:w="1710" w:type="dxa"/>
            <w:shd w:val="clear" w:color="auto" w:fill="BDD6EE" w:themeFill="accent1" w:themeFillTint="66"/>
          </w:tcPr>
          <w:p w14:paraId="1FC39945" w14:textId="77777777" w:rsidR="009673A6" w:rsidRDefault="009673A6" w:rsidP="008F7618"/>
        </w:tc>
      </w:tr>
      <w:tr w:rsidR="009673A6" w14:paraId="0562CB0E" w14:textId="77777777" w:rsidTr="001C4F2F">
        <w:tc>
          <w:tcPr>
            <w:tcW w:w="2297" w:type="dxa"/>
          </w:tcPr>
          <w:p w14:paraId="34CE0A41" w14:textId="369EABFD" w:rsidR="009673A6" w:rsidRPr="00E70ECD" w:rsidRDefault="009673A6" w:rsidP="00E70ECD">
            <w:pPr>
              <w:pStyle w:val="ListParagraph"/>
              <w:numPr>
                <w:ilvl w:val="0"/>
                <w:numId w:val="3"/>
              </w:numPr>
              <w:rPr>
                <w:rFonts w:eastAsia="Times New Roman" w:cs="Times New Roman"/>
                <w:b/>
                <w:color w:val="000000"/>
              </w:rPr>
            </w:pPr>
            <w:r w:rsidRPr="00E70ECD">
              <w:rPr>
                <w:b/>
                <w:bCs/>
              </w:rPr>
              <w:t>Chair’s Report and Executive Action Items</w:t>
            </w:r>
          </w:p>
        </w:tc>
        <w:tc>
          <w:tcPr>
            <w:tcW w:w="5798" w:type="dxa"/>
          </w:tcPr>
          <w:p w14:paraId="17536641" w14:textId="30700938" w:rsidR="00E17628" w:rsidRDefault="00FA07FF" w:rsidP="00FA454B">
            <w:r>
              <w:t>NA</w:t>
            </w:r>
          </w:p>
          <w:p w14:paraId="262A4D2A" w14:textId="77777777" w:rsidR="00CD2D2D" w:rsidRDefault="000D27D6" w:rsidP="00FA454B">
            <w:r>
              <w:br/>
              <w:t xml:space="preserve">There was discussion of the normal workflow for CAAC.  If items are in </w:t>
            </w:r>
            <w:proofErr w:type="spellStart"/>
            <w:r>
              <w:t>curriculog</w:t>
            </w:r>
            <w:proofErr w:type="spellEnd"/>
            <w:r>
              <w:t xml:space="preserve"> in our My Tasks list by Tuesday evening, we normally review the proposals the following week.  The chairperson will inform the committee whether we will meet the following week.</w:t>
            </w:r>
          </w:p>
          <w:p w14:paraId="68FACBA5" w14:textId="3AEB6762" w:rsidR="00166088" w:rsidRDefault="00166088" w:rsidP="00FA454B"/>
          <w:p w14:paraId="73E9F616" w14:textId="2F1F9188" w:rsidR="003012FE" w:rsidRDefault="003012FE" w:rsidP="00FA454B">
            <w:r>
              <w:t xml:space="preserve">New CAAC members will need to be put into </w:t>
            </w:r>
            <w:proofErr w:type="spellStart"/>
            <w:r>
              <w:t>curriculog</w:t>
            </w:r>
            <w:proofErr w:type="spellEnd"/>
            <w:r>
              <w:t xml:space="preserve">, and ORR will make sure the committee is correct in </w:t>
            </w:r>
            <w:proofErr w:type="spellStart"/>
            <w:r>
              <w:t>curriculog</w:t>
            </w:r>
            <w:proofErr w:type="spellEnd"/>
            <w:r>
              <w:t>.</w:t>
            </w:r>
          </w:p>
          <w:p w14:paraId="691ECFBE" w14:textId="5E1494D9" w:rsidR="00EC4256" w:rsidRDefault="00EC4256" w:rsidP="00FA454B"/>
          <w:p w14:paraId="569F2717" w14:textId="4D4C4BA0" w:rsidR="00EC4256" w:rsidRDefault="00EC4256" w:rsidP="00FA454B">
            <w:r>
              <w:t>A calendar invite will be sent to all committee members to get this meeting onto everyone’s calendars.</w:t>
            </w:r>
          </w:p>
          <w:p w14:paraId="73A5CE61" w14:textId="77777777" w:rsidR="003012FE" w:rsidRDefault="003012FE" w:rsidP="00FA454B"/>
          <w:p w14:paraId="62EBF3C5" w14:textId="6E51479E" w:rsidR="00166088" w:rsidRDefault="00166088" w:rsidP="00FA454B">
            <w:r>
              <w:t>We will meet again in two weeks, and all should keep this on their calendar for each week following.</w:t>
            </w:r>
          </w:p>
        </w:tc>
        <w:tc>
          <w:tcPr>
            <w:tcW w:w="1710" w:type="dxa"/>
          </w:tcPr>
          <w:p w14:paraId="6D98A12B" w14:textId="44EF94C4" w:rsidR="009673A6" w:rsidRDefault="009673A6" w:rsidP="008F7618"/>
        </w:tc>
      </w:tr>
      <w:tr w:rsidR="009673A6" w14:paraId="00B33B1C" w14:textId="77777777" w:rsidTr="001C4F2F">
        <w:tc>
          <w:tcPr>
            <w:tcW w:w="2297" w:type="dxa"/>
          </w:tcPr>
          <w:p w14:paraId="5EC4C2D9" w14:textId="77777777" w:rsidR="009673A6" w:rsidRPr="00CE4364" w:rsidRDefault="009673A6" w:rsidP="00022204">
            <w:pPr>
              <w:rPr>
                <w:i/>
              </w:rPr>
            </w:pPr>
            <w:r w:rsidRPr="00CE4364">
              <w:rPr>
                <w:i/>
              </w:rPr>
              <w:t>Motion to Suspend the rules</w:t>
            </w:r>
          </w:p>
          <w:p w14:paraId="4CD3147B" w14:textId="77777777" w:rsidR="009673A6" w:rsidRDefault="009673A6" w:rsidP="00022204"/>
          <w:p w14:paraId="58C5A40D" w14:textId="77777777" w:rsidR="009673A6" w:rsidRDefault="009673A6" w:rsidP="00022204"/>
          <w:p w14:paraId="313359BF" w14:textId="77777777" w:rsidR="009673A6" w:rsidRDefault="009673A6" w:rsidP="00022204"/>
          <w:p w14:paraId="202EF8E0" w14:textId="27FAE235" w:rsidR="009673A6" w:rsidRPr="00E70ECD" w:rsidRDefault="009673A6" w:rsidP="00E70ECD">
            <w:pPr>
              <w:rPr>
                <w:b/>
                <w:bCs/>
              </w:rPr>
            </w:pPr>
          </w:p>
        </w:tc>
        <w:tc>
          <w:tcPr>
            <w:tcW w:w="5798" w:type="dxa"/>
          </w:tcPr>
          <w:p w14:paraId="1A2E1BF7" w14:textId="6A1EF35F" w:rsidR="009673A6" w:rsidRPr="00CE4364" w:rsidRDefault="00F47433" w:rsidP="008F7618">
            <w:pPr>
              <w:rPr>
                <w:i/>
              </w:rPr>
            </w:pPr>
            <w:r w:rsidRPr="00CE4364">
              <w:rPr>
                <w:i/>
              </w:rPr>
              <w:lastRenderedPageBreak/>
              <w:t xml:space="preserve">Note – CAAC default rules do not allow curriculum to be voted on at the same meeting it was presented.  The committee can vote to suspend these rules in </w:t>
            </w:r>
            <w:r w:rsidRPr="00CE4364">
              <w:rPr>
                <w:i/>
              </w:rPr>
              <w:lastRenderedPageBreak/>
              <w:t>order to vote at the same meeting (i.e., to avoid needing to meet only to vote, or to get a proposal moved along a week sooner).</w:t>
            </w:r>
          </w:p>
          <w:p w14:paraId="2946DB82" w14:textId="77777777" w:rsidR="009673A6" w:rsidRPr="00637E20" w:rsidRDefault="009673A6" w:rsidP="008F7618"/>
        </w:tc>
        <w:tc>
          <w:tcPr>
            <w:tcW w:w="1710" w:type="dxa"/>
          </w:tcPr>
          <w:p w14:paraId="5997CC1D" w14:textId="33529F4A" w:rsidR="009673A6" w:rsidRDefault="009673A6" w:rsidP="008F7618"/>
        </w:tc>
      </w:tr>
      <w:tr w:rsidR="009673A6" w14:paraId="242E4A8F" w14:textId="77777777" w:rsidTr="001C4F2F">
        <w:tc>
          <w:tcPr>
            <w:tcW w:w="2297" w:type="dxa"/>
            <w:shd w:val="clear" w:color="auto" w:fill="BDD6EE" w:themeFill="accent1" w:themeFillTint="66"/>
          </w:tcPr>
          <w:p w14:paraId="52E56223" w14:textId="77777777" w:rsidR="009673A6" w:rsidRPr="00022204" w:rsidRDefault="009673A6" w:rsidP="00022204"/>
        </w:tc>
        <w:tc>
          <w:tcPr>
            <w:tcW w:w="5798" w:type="dxa"/>
            <w:shd w:val="clear" w:color="auto" w:fill="BDD6EE" w:themeFill="accent1" w:themeFillTint="66"/>
          </w:tcPr>
          <w:p w14:paraId="6DFB9E20" w14:textId="77777777" w:rsidR="009673A6" w:rsidRDefault="009673A6" w:rsidP="008F7618"/>
        </w:tc>
        <w:tc>
          <w:tcPr>
            <w:tcW w:w="1710" w:type="dxa"/>
            <w:shd w:val="clear" w:color="auto" w:fill="BDD6EE" w:themeFill="accent1" w:themeFillTint="66"/>
          </w:tcPr>
          <w:p w14:paraId="1DB5DCFB" w14:textId="15B9EFC6" w:rsidR="009673A6" w:rsidRDefault="009673A6" w:rsidP="000F6CD0"/>
        </w:tc>
      </w:tr>
      <w:tr w:rsidR="009673A6" w14:paraId="738610EB" w14:textId="77777777" w:rsidTr="001C4F2F">
        <w:tc>
          <w:tcPr>
            <w:tcW w:w="2297" w:type="dxa"/>
          </w:tcPr>
          <w:p w14:paraId="637805D2" w14:textId="2F596600" w:rsidR="009673A6" w:rsidRPr="00E70ECD" w:rsidRDefault="009673A6" w:rsidP="00E70ECD">
            <w:pPr>
              <w:pStyle w:val="ListParagraph"/>
              <w:numPr>
                <w:ilvl w:val="0"/>
                <w:numId w:val="3"/>
              </w:numPr>
              <w:rPr>
                <w:b/>
              </w:rPr>
            </w:pPr>
            <w:r w:rsidRPr="00E70ECD">
              <w:rPr>
                <w:b/>
                <w:bCs/>
              </w:rPr>
              <w:t>Executive Committee Report</w:t>
            </w:r>
          </w:p>
        </w:tc>
        <w:tc>
          <w:tcPr>
            <w:tcW w:w="5798" w:type="dxa"/>
          </w:tcPr>
          <w:p w14:paraId="463F29E8" w14:textId="1B979CF6" w:rsidR="009673A6" w:rsidRDefault="00AC76C2" w:rsidP="008F7618">
            <w:r>
              <w:t>NA</w:t>
            </w:r>
          </w:p>
        </w:tc>
        <w:tc>
          <w:tcPr>
            <w:tcW w:w="1710" w:type="dxa"/>
          </w:tcPr>
          <w:p w14:paraId="3B7B4B86" w14:textId="7B0F6F8C" w:rsidR="009673A6" w:rsidRDefault="009673A6" w:rsidP="008F7618"/>
        </w:tc>
      </w:tr>
      <w:tr w:rsidR="009673A6" w14:paraId="627F0DBB" w14:textId="77777777" w:rsidTr="001C4F2F">
        <w:tc>
          <w:tcPr>
            <w:tcW w:w="2297" w:type="dxa"/>
            <w:shd w:val="clear" w:color="auto" w:fill="BDD6EE" w:themeFill="accent1" w:themeFillTint="66"/>
          </w:tcPr>
          <w:p w14:paraId="5E258089" w14:textId="1EA8932C" w:rsidR="009673A6" w:rsidRPr="00E70ECD" w:rsidRDefault="009673A6" w:rsidP="00E70ECD">
            <w:pPr>
              <w:rPr>
                <w:b/>
                <w:bCs/>
              </w:rPr>
            </w:pPr>
          </w:p>
        </w:tc>
        <w:tc>
          <w:tcPr>
            <w:tcW w:w="5798" w:type="dxa"/>
            <w:shd w:val="clear" w:color="auto" w:fill="BDD6EE" w:themeFill="accent1" w:themeFillTint="66"/>
          </w:tcPr>
          <w:p w14:paraId="5AA6B9DB" w14:textId="4422CB7C" w:rsidR="009673A6" w:rsidRDefault="009673A6" w:rsidP="008F7618"/>
        </w:tc>
        <w:tc>
          <w:tcPr>
            <w:tcW w:w="1710" w:type="dxa"/>
            <w:shd w:val="clear" w:color="auto" w:fill="BDD6EE" w:themeFill="accent1" w:themeFillTint="66"/>
          </w:tcPr>
          <w:p w14:paraId="3A0FF5F2" w14:textId="05E53F59" w:rsidR="009673A6" w:rsidRDefault="009673A6" w:rsidP="00FB4F82"/>
        </w:tc>
      </w:tr>
      <w:tr w:rsidR="009673A6" w14:paraId="5630AD66" w14:textId="77777777" w:rsidTr="001C4F2F">
        <w:tc>
          <w:tcPr>
            <w:tcW w:w="2297" w:type="dxa"/>
          </w:tcPr>
          <w:p w14:paraId="61829076" w14:textId="4CF29F41" w:rsidR="009673A6" w:rsidRPr="00E70ECD" w:rsidRDefault="009673A6" w:rsidP="00E70ECD">
            <w:pPr>
              <w:pStyle w:val="ListParagraph"/>
              <w:numPr>
                <w:ilvl w:val="0"/>
                <w:numId w:val="3"/>
              </w:numPr>
              <w:rPr>
                <w:b/>
              </w:rPr>
            </w:pPr>
            <w:r w:rsidRPr="00E70ECD">
              <w:rPr>
                <w:b/>
                <w:bCs/>
              </w:rPr>
              <w:t>Old Business</w:t>
            </w:r>
          </w:p>
        </w:tc>
        <w:tc>
          <w:tcPr>
            <w:tcW w:w="5798" w:type="dxa"/>
          </w:tcPr>
          <w:p w14:paraId="33198BA1" w14:textId="40AB6103" w:rsidR="009673A6" w:rsidRDefault="00A80FC4" w:rsidP="008F7618">
            <w:r>
              <w:t>NA</w:t>
            </w:r>
          </w:p>
          <w:p w14:paraId="2BA226A1" w14:textId="77777777" w:rsidR="009673A6" w:rsidRDefault="009673A6" w:rsidP="008F7618"/>
        </w:tc>
        <w:tc>
          <w:tcPr>
            <w:tcW w:w="1710" w:type="dxa"/>
          </w:tcPr>
          <w:p w14:paraId="17AD93B2" w14:textId="57AEE27E" w:rsidR="009673A6" w:rsidRDefault="009673A6" w:rsidP="008F7618"/>
        </w:tc>
      </w:tr>
      <w:tr w:rsidR="009673A6" w14:paraId="6481C582" w14:textId="77777777" w:rsidTr="001C4F2F">
        <w:tc>
          <w:tcPr>
            <w:tcW w:w="2297" w:type="dxa"/>
            <w:shd w:val="clear" w:color="auto" w:fill="BDD6EE" w:themeFill="accent1" w:themeFillTint="66"/>
          </w:tcPr>
          <w:p w14:paraId="213A52DA" w14:textId="24291F00" w:rsidR="009673A6" w:rsidRPr="00E70ECD" w:rsidRDefault="009673A6" w:rsidP="00E70ECD">
            <w:pPr>
              <w:rPr>
                <w:b/>
                <w:bCs/>
              </w:rPr>
            </w:pPr>
          </w:p>
        </w:tc>
        <w:tc>
          <w:tcPr>
            <w:tcW w:w="5798" w:type="dxa"/>
            <w:shd w:val="clear" w:color="auto" w:fill="BDD6EE" w:themeFill="accent1" w:themeFillTint="66"/>
          </w:tcPr>
          <w:p w14:paraId="39609875" w14:textId="20532686" w:rsidR="009673A6" w:rsidRDefault="009673A6" w:rsidP="008F7618"/>
        </w:tc>
        <w:tc>
          <w:tcPr>
            <w:tcW w:w="1710" w:type="dxa"/>
            <w:shd w:val="clear" w:color="auto" w:fill="BDD6EE" w:themeFill="accent1" w:themeFillTint="66"/>
          </w:tcPr>
          <w:p w14:paraId="0DE4B5B7" w14:textId="5897095B" w:rsidR="009673A6" w:rsidRDefault="009673A6" w:rsidP="008F7618"/>
        </w:tc>
      </w:tr>
      <w:tr w:rsidR="009673A6" w14:paraId="66204FF1" w14:textId="77777777" w:rsidTr="001C4F2F">
        <w:tc>
          <w:tcPr>
            <w:tcW w:w="2297" w:type="dxa"/>
          </w:tcPr>
          <w:p w14:paraId="2DBF0D7D" w14:textId="354ED767" w:rsidR="009673A6" w:rsidRPr="00E70ECD" w:rsidRDefault="009673A6" w:rsidP="00E70ECD">
            <w:pPr>
              <w:rPr>
                <w:b/>
              </w:rPr>
            </w:pPr>
            <w:r w:rsidRPr="00E70ECD">
              <w:rPr>
                <w:b/>
                <w:bCs/>
              </w:rPr>
              <w:t>Adjournment</w:t>
            </w:r>
          </w:p>
        </w:tc>
        <w:tc>
          <w:tcPr>
            <w:tcW w:w="5798" w:type="dxa"/>
          </w:tcPr>
          <w:p w14:paraId="6B62F1B3" w14:textId="30B4696A" w:rsidR="009673A6" w:rsidRDefault="009673A6" w:rsidP="008F7618">
            <w:r>
              <w:t xml:space="preserve">Meeting adjourned  </w:t>
            </w:r>
            <w:r w:rsidR="0038538E">
              <w:t>12:50pm</w:t>
            </w:r>
          </w:p>
        </w:tc>
        <w:tc>
          <w:tcPr>
            <w:tcW w:w="1710" w:type="dxa"/>
          </w:tcPr>
          <w:p w14:paraId="1F5C4F15" w14:textId="404DA7DB" w:rsidR="009673A6" w:rsidRDefault="009673A6" w:rsidP="005F79B1">
            <w:r>
              <w:t xml:space="preserve">Motion by </w:t>
            </w:r>
            <w:r w:rsidR="001973F4">
              <w:t>Jeff, second Edith.</w:t>
            </w:r>
          </w:p>
          <w:p w14:paraId="02F2C34E" w14:textId="77777777" w:rsidR="009673A6" w:rsidRDefault="009673A6" w:rsidP="008F7618"/>
        </w:tc>
      </w:tr>
      <w:tr w:rsidR="009673A6" w14:paraId="362DD996" w14:textId="77777777" w:rsidTr="001C4F2F">
        <w:tc>
          <w:tcPr>
            <w:tcW w:w="2297" w:type="dxa"/>
          </w:tcPr>
          <w:p w14:paraId="0B7F62C4" w14:textId="7B33EE8D" w:rsidR="009673A6" w:rsidRPr="00E70ECD" w:rsidRDefault="009673A6" w:rsidP="00E70ECD">
            <w:pPr>
              <w:rPr>
                <w:b/>
                <w:bCs/>
              </w:rPr>
            </w:pPr>
          </w:p>
        </w:tc>
        <w:tc>
          <w:tcPr>
            <w:tcW w:w="5798" w:type="dxa"/>
          </w:tcPr>
          <w:p w14:paraId="3F9E6051" w14:textId="6F78752B" w:rsidR="009673A6" w:rsidRDefault="009673A6" w:rsidP="008F7618"/>
        </w:tc>
        <w:tc>
          <w:tcPr>
            <w:tcW w:w="1710" w:type="dxa"/>
          </w:tcPr>
          <w:p w14:paraId="5A7C8996" w14:textId="44FE3925" w:rsidR="009673A6" w:rsidRDefault="009673A6" w:rsidP="005F79B1"/>
        </w:tc>
      </w:tr>
    </w:tbl>
    <w:p w14:paraId="680A4E5D" w14:textId="77777777" w:rsidR="009017F3" w:rsidRPr="009017F3" w:rsidRDefault="009017F3" w:rsidP="009017F3"/>
    <w:sectPr w:rsidR="009017F3" w:rsidRPr="00901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664F" w14:textId="77777777" w:rsidR="00E968C2" w:rsidRDefault="00E968C2" w:rsidP="000F6CD0">
      <w:pPr>
        <w:spacing w:after="0" w:line="240" w:lineRule="auto"/>
      </w:pPr>
      <w:r>
        <w:separator/>
      </w:r>
    </w:p>
  </w:endnote>
  <w:endnote w:type="continuationSeparator" w:id="0">
    <w:p w14:paraId="09612AA6" w14:textId="77777777" w:rsidR="00E968C2" w:rsidRDefault="00E968C2"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48B0" w14:textId="77777777" w:rsidR="00E968C2" w:rsidRDefault="00E968C2" w:rsidP="000F6CD0">
      <w:pPr>
        <w:spacing w:after="0" w:line="240" w:lineRule="auto"/>
      </w:pPr>
      <w:r>
        <w:separator/>
      </w:r>
    </w:p>
  </w:footnote>
  <w:footnote w:type="continuationSeparator" w:id="0">
    <w:p w14:paraId="561FCC37" w14:textId="77777777" w:rsidR="00E968C2" w:rsidRDefault="00E968C2" w:rsidP="000F6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856DA"/>
    <w:rsid w:val="000A4AA6"/>
    <w:rsid w:val="000A66E9"/>
    <w:rsid w:val="000C0034"/>
    <w:rsid w:val="000D27D6"/>
    <w:rsid w:val="000F6CD0"/>
    <w:rsid w:val="00151968"/>
    <w:rsid w:val="00166088"/>
    <w:rsid w:val="001973F4"/>
    <w:rsid w:val="001C1858"/>
    <w:rsid w:val="001C3488"/>
    <w:rsid w:val="001C4F2F"/>
    <w:rsid w:val="001D7500"/>
    <w:rsid w:val="0022031A"/>
    <w:rsid w:val="00253FCC"/>
    <w:rsid w:val="00276177"/>
    <w:rsid w:val="002B411B"/>
    <w:rsid w:val="002D0103"/>
    <w:rsid w:val="002E6364"/>
    <w:rsid w:val="003012FE"/>
    <w:rsid w:val="00351490"/>
    <w:rsid w:val="00364EBA"/>
    <w:rsid w:val="003812D1"/>
    <w:rsid w:val="0038538E"/>
    <w:rsid w:val="003E11FD"/>
    <w:rsid w:val="003E41C6"/>
    <w:rsid w:val="004014F1"/>
    <w:rsid w:val="00407B02"/>
    <w:rsid w:val="00455410"/>
    <w:rsid w:val="004D4025"/>
    <w:rsid w:val="004F0223"/>
    <w:rsid w:val="004F309C"/>
    <w:rsid w:val="0050097A"/>
    <w:rsid w:val="005169A8"/>
    <w:rsid w:val="0053490F"/>
    <w:rsid w:val="0057452D"/>
    <w:rsid w:val="00584894"/>
    <w:rsid w:val="005F79B1"/>
    <w:rsid w:val="00645174"/>
    <w:rsid w:val="006576C1"/>
    <w:rsid w:val="006A4890"/>
    <w:rsid w:val="006F44F9"/>
    <w:rsid w:val="0071310B"/>
    <w:rsid w:val="00747BEE"/>
    <w:rsid w:val="00897AA3"/>
    <w:rsid w:val="008C36E6"/>
    <w:rsid w:val="008F7618"/>
    <w:rsid w:val="009017F3"/>
    <w:rsid w:val="00927325"/>
    <w:rsid w:val="00936ACA"/>
    <w:rsid w:val="00963EA6"/>
    <w:rsid w:val="009673A6"/>
    <w:rsid w:val="00967E2D"/>
    <w:rsid w:val="00995780"/>
    <w:rsid w:val="009A37AE"/>
    <w:rsid w:val="009C0400"/>
    <w:rsid w:val="009D303D"/>
    <w:rsid w:val="00A162A6"/>
    <w:rsid w:val="00A80FC4"/>
    <w:rsid w:val="00A830E0"/>
    <w:rsid w:val="00A9516D"/>
    <w:rsid w:val="00AC76C2"/>
    <w:rsid w:val="00AE635A"/>
    <w:rsid w:val="00C15BAA"/>
    <w:rsid w:val="00C166F7"/>
    <w:rsid w:val="00CD2D2D"/>
    <w:rsid w:val="00CE152A"/>
    <w:rsid w:val="00CE4364"/>
    <w:rsid w:val="00D17D86"/>
    <w:rsid w:val="00D31153"/>
    <w:rsid w:val="00D34E94"/>
    <w:rsid w:val="00D46A5E"/>
    <w:rsid w:val="00D520F6"/>
    <w:rsid w:val="00D6367E"/>
    <w:rsid w:val="00D87610"/>
    <w:rsid w:val="00DC141D"/>
    <w:rsid w:val="00E17628"/>
    <w:rsid w:val="00E22D61"/>
    <w:rsid w:val="00E24EE6"/>
    <w:rsid w:val="00E57DA4"/>
    <w:rsid w:val="00E60FBD"/>
    <w:rsid w:val="00E70ECD"/>
    <w:rsid w:val="00E95AC2"/>
    <w:rsid w:val="00E968C2"/>
    <w:rsid w:val="00EC4256"/>
    <w:rsid w:val="00F21AA0"/>
    <w:rsid w:val="00F47433"/>
    <w:rsid w:val="00F47550"/>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E1C76-9462-4939-A23B-BC9F6BA2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0066D-15B8-45CC-BBAC-DBDD306A3E35}">
  <ds:schemaRefs>
    <ds:schemaRef ds:uri="http://schemas.microsoft.com/sharepoint/v3/contenttype/forms"/>
  </ds:schemaRefs>
</ds:datastoreItem>
</file>

<file path=customXml/itemProps3.xml><?xml version="1.0" encoding="utf-8"?>
<ds:datastoreItem xmlns:ds="http://schemas.openxmlformats.org/officeDocument/2006/customXml" ds:itemID="{CCF9C83C-99F4-4BCA-BC6A-D69704C69E7F}">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baf45800-202a-4d04-9eb1-dcead2d857c9"/>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2019-09-30T19:35:00Z</dcterms:created>
  <dcterms:modified xsi:type="dcterms:W3CDTF">2019-09-30T19:35:00Z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