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41679C" w14:textId="77777777" w:rsidR="009017F3" w:rsidRPr="009C1048" w:rsidRDefault="009017F3" w:rsidP="009017F3">
      <w:pPr>
        <w:spacing w:after="0" w:line="240" w:lineRule="auto"/>
        <w:jc w:val="center"/>
        <w:rPr>
          <w:rFonts w:eastAsia="Times New Roman"/>
          <w:b/>
          <w:sz w:val="28"/>
          <w:szCs w:val="28"/>
        </w:rPr>
      </w:pPr>
      <w:bookmarkStart w:id="0" w:name="_GoBack"/>
      <w:bookmarkEnd w:id="0"/>
      <w:r w:rsidRPr="009C1048">
        <w:rPr>
          <w:rFonts w:eastAsia="Times New Roman"/>
          <w:b/>
          <w:sz w:val="28"/>
          <w:szCs w:val="28"/>
        </w:rPr>
        <w:t>University Curriculum and Academic Affairs Committee</w:t>
      </w:r>
    </w:p>
    <w:p w14:paraId="2BF95D21" w14:textId="77777777" w:rsidR="009017F3" w:rsidRDefault="009017F3" w:rsidP="009017F3">
      <w:pPr>
        <w:spacing w:after="0" w:line="240" w:lineRule="auto"/>
        <w:jc w:val="center"/>
        <w:rPr>
          <w:rFonts w:eastAsia="Times New Roman"/>
          <w:b/>
          <w:sz w:val="28"/>
          <w:szCs w:val="28"/>
        </w:rPr>
      </w:pPr>
      <w:r w:rsidRPr="009C1048">
        <w:rPr>
          <w:rFonts w:eastAsia="Times New Roman"/>
          <w:b/>
          <w:sz w:val="28"/>
          <w:szCs w:val="28"/>
        </w:rPr>
        <w:t>UCAAC</w:t>
      </w:r>
    </w:p>
    <w:p w14:paraId="1F91BD1C" w14:textId="5DF42DDC" w:rsidR="00351490" w:rsidRDefault="081EA8A9" w:rsidP="081EA8A9">
      <w:pPr>
        <w:spacing w:after="0" w:line="240" w:lineRule="auto"/>
        <w:jc w:val="center"/>
        <w:rPr>
          <w:rFonts w:eastAsia="Times New Roman"/>
          <w:b/>
          <w:bCs/>
          <w:sz w:val="28"/>
          <w:szCs w:val="28"/>
        </w:rPr>
      </w:pPr>
      <w:r w:rsidRPr="081EA8A9">
        <w:rPr>
          <w:b/>
          <w:bCs/>
        </w:rPr>
        <w:t xml:space="preserve">Meeting # </w:t>
      </w:r>
      <w:r w:rsidR="00B121CE">
        <w:rPr>
          <w:b/>
          <w:bCs/>
        </w:rPr>
        <w:t>2</w:t>
      </w:r>
    </w:p>
    <w:p w14:paraId="6B551E9D" w14:textId="29AEFC35" w:rsidR="00351490" w:rsidRPr="007B4915" w:rsidRDefault="00B121CE" w:rsidP="081EA8A9">
      <w:pPr>
        <w:spacing w:after="0" w:line="240" w:lineRule="auto"/>
        <w:jc w:val="center"/>
        <w:rPr>
          <w:b/>
          <w:bCs/>
        </w:rPr>
      </w:pPr>
      <w:r>
        <w:rPr>
          <w:b/>
          <w:bCs/>
        </w:rPr>
        <w:t>September 10</w:t>
      </w:r>
      <w:r w:rsidR="081EA8A9" w:rsidRPr="081EA8A9">
        <w:rPr>
          <w:b/>
          <w:bCs/>
        </w:rPr>
        <w:t>, 2019</w:t>
      </w:r>
    </w:p>
    <w:p w14:paraId="047C8F08" w14:textId="77777777" w:rsidR="00351490" w:rsidRPr="007B4915" w:rsidRDefault="00351490" w:rsidP="00351490">
      <w:pPr>
        <w:spacing w:after="0" w:line="240" w:lineRule="auto"/>
        <w:jc w:val="center"/>
        <w:rPr>
          <w:b/>
        </w:rPr>
      </w:pPr>
      <w:r w:rsidRPr="007B4915">
        <w:rPr>
          <w:b/>
        </w:rPr>
        <w:t>Stalker Hall, Room 211</w:t>
      </w:r>
    </w:p>
    <w:p w14:paraId="38B4F77C" w14:textId="28424E7A" w:rsidR="009D303D" w:rsidRPr="00276177" w:rsidRDefault="00351490" w:rsidP="00276177">
      <w:pPr>
        <w:rPr>
          <w:rFonts w:ascii="Times New Roman" w:eastAsia="Times New Roman" w:hAnsi="Times New Roman" w:cs="Times New Roman"/>
          <w:sz w:val="24"/>
          <w:szCs w:val="24"/>
        </w:rPr>
      </w:pPr>
      <w:r w:rsidRPr="009C1048">
        <w:rPr>
          <w:b/>
        </w:rPr>
        <w:t>CAAC Members Present</w:t>
      </w:r>
      <w:r>
        <w:t xml:space="preserve">: </w:t>
      </w:r>
      <w:r w:rsidR="009C0400" w:rsidRPr="009C0400">
        <w:t xml:space="preserve">Renee Bauer, Dan Clark, Margaret Hill, Jeff Kinne, Winnie Ko, </w:t>
      </w:r>
      <w:r w:rsidR="00B121CE">
        <w:t>Blake Rayfield,</w:t>
      </w:r>
      <w:r w:rsidR="009C0400" w:rsidRPr="009C0400">
        <w:t xml:space="preserve"> Edith Wittenmyer</w:t>
      </w:r>
      <w:r w:rsidR="00276177">
        <w:rPr>
          <w:rFonts w:ascii="Times New Roman" w:eastAsia="Times New Roman" w:hAnsi="Times New Roman" w:cs="Times New Roman"/>
          <w:sz w:val="24"/>
          <w:szCs w:val="24"/>
        </w:rPr>
        <w:br/>
      </w:r>
      <w:r w:rsidRPr="009C1048">
        <w:rPr>
          <w:b/>
        </w:rPr>
        <w:t>Absent:</w:t>
      </w:r>
      <w:r w:rsidR="005F79B1">
        <w:t xml:space="preserve"> </w:t>
      </w:r>
      <w:r w:rsidR="00276177">
        <w:t>-</w:t>
      </w:r>
      <w:r w:rsidR="00B121CE" w:rsidRPr="00B121CE">
        <w:t xml:space="preserve"> </w:t>
      </w:r>
      <w:r w:rsidR="00B121CE" w:rsidRPr="009C0400">
        <w:t>Andrew Payne</w:t>
      </w:r>
      <w:r w:rsidR="00B121CE">
        <w:t xml:space="preserve">, </w:t>
      </w:r>
      <w:r w:rsidR="00B121CE" w:rsidRPr="009C0400">
        <w:t>Brian Schaefer</w:t>
      </w:r>
      <w:r w:rsidR="00276177">
        <w:rPr>
          <w:rFonts w:ascii="Times New Roman" w:eastAsia="Times New Roman" w:hAnsi="Times New Roman" w:cs="Times New Roman"/>
          <w:sz w:val="24"/>
          <w:szCs w:val="24"/>
        </w:rPr>
        <w:br/>
      </w:r>
      <w:r>
        <w:rPr>
          <w:b/>
        </w:rPr>
        <w:t>Guest</w:t>
      </w:r>
      <w:r w:rsidR="00B121CE">
        <w:rPr>
          <w:b/>
        </w:rPr>
        <w:t>s</w:t>
      </w:r>
      <w:r w:rsidR="005F79B1">
        <w:t xml:space="preserve">: </w:t>
      </w:r>
      <w:r w:rsidR="00276177">
        <w:t>-</w:t>
      </w:r>
      <w:r w:rsidR="00B121CE">
        <w:t xml:space="preserve"> Amanda Muhammad, Mark McInerney, and Ann Rider</w:t>
      </w:r>
      <w:r w:rsidR="00276177">
        <w:rPr>
          <w:rFonts w:ascii="Times New Roman" w:eastAsia="Times New Roman" w:hAnsi="Times New Roman" w:cs="Times New Roman"/>
          <w:sz w:val="24"/>
          <w:szCs w:val="24"/>
        </w:rPr>
        <w:br/>
      </w:r>
      <w:r w:rsidRPr="002F4D21">
        <w:rPr>
          <w:b/>
        </w:rPr>
        <w:t>Executive Committee</w:t>
      </w:r>
      <w:r>
        <w:t xml:space="preserve"> </w:t>
      </w:r>
      <w:r w:rsidRPr="002F4D21">
        <w:rPr>
          <w:b/>
        </w:rPr>
        <w:t>Lia</w:t>
      </w:r>
      <w:r w:rsidR="0050097A">
        <w:rPr>
          <w:b/>
        </w:rPr>
        <w:t>i</w:t>
      </w:r>
      <w:r w:rsidRPr="002F4D21">
        <w:rPr>
          <w:b/>
        </w:rPr>
        <w:t>son</w:t>
      </w:r>
      <w:r>
        <w:t xml:space="preserve">: </w:t>
      </w:r>
      <w:r w:rsidR="009C0400">
        <w:t>Shawn Phillips</w:t>
      </w:r>
      <w:r w:rsidR="00276177">
        <w:rPr>
          <w:rFonts w:ascii="Times New Roman" w:eastAsia="Times New Roman" w:hAnsi="Times New Roman" w:cs="Times New Roman"/>
          <w:sz w:val="24"/>
          <w:szCs w:val="24"/>
        </w:rPr>
        <w:br/>
      </w:r>
      <w:r>
        <w:rPr>
          <w:b/>
        </w:rPr>
        <w:t>Ex Officio</w:t>
      </w:r>
      <w:r w:rsidRPr="00BA42E1">
        <w:t xml:space="preserve">: </w:t>
      </w:r>
      <w:r w:rsidR="0057452D">
        <w:t>present –</w:t>
      </w:r>
      <w:r w:rsidR="00B121CE">
        <w:t xml:space="preserve"> Angie Smith, Linda Sperry, </w:t>
      </w:r>
      <w:r w:rsidR="00B121CE" w:rsidRPr="00BA42E1">
        <w:t>Kelly Wilkinson</w:t>
      </w:r>
      <w:r w:rsidR="00B121CE">
        <w:t xml:space="preserve">, </w:t>
      </w:r>
      <w:r w:rsidR="00B121CE" w:rsidRPr="00BA42E1">
        <w:t>Bassam Yousif</w:t>
      </w:r>
      <w:r w:rsidR="002A7A4A">
        <w:t>,</w:t>
      </w:r>
      <w:r w:rsidR="002A7A4A" w:rsidRPr="002A7A4A">
        <w:t xml:space="preserve"> </w:t>
      </w:r>
      <w:r w:rsidR="002A7A4A">
        <w:t xml:space="preserve">Whitney Nesser </w:t>
      </w:r>
      <w:r w:rsidR="00B121CE">
        <w:t>.  Absent but ke</w:t>
      </w:r>
      <w:r w:rsidR="0057452D">
        <w:t>p</w:t>
      </w:r>
      <w:r w:rsidR="00B121CE">
        <w:t>t</w:t>
      </w:r>
      <w:r w:rsidR="0057452D">
        <w:t xml:space="preserve"> on the weekly invitation – Linda Maule, Susan Powers, </w:t>
      </w:r>
      <w:r w:rsidR="009C0400">
        <w:t xml:space="preserve">Jim Smallwood, </w:t>
      </w:r>
    </w:p>
    <w:tbl>
      <w:tblPr>
        <w:tblStyle w:val="TableGrid"/>
        <w:tblW w:w="9805" w:type="dxa"/>
        <w:tblLook w:val="04A0" w:firstRow="1" w:lastRow="0" w:firstColumn="1" w:lastColumn="0" w:noHBand="0" w:noVBand="1"/>
      </w:tblPr>
      <w:tblGrid>
        <w:gridCol w:w="2414"/>
        <w:gridCol w:w="4863"/>
        <w:gridCol w:w="2528"/>
      </w:tblGrid>
      <w:tr w:rsidR="009017F3" w14:paraId="56530705" w14:textId="77777777" w:rsidTr="00CA1C82">
        <w:tc>
          <w:tcPr>
            <w:tcW w:w="2414" w:type="dxa"/>
            <w:shd w:val="clear" w:color="auto" w:fill="BDD6EE" w:themeFill="accent1" w:themeFillTint="66"/>
          </w:tcPr>
          <w:p w14:paraId="53A8696D" w14:textId="77777777" w:rsidR="009017F3" w:rsidRPr="000F6CD0" w:rsidRDefault="009017F3" w:rsidP="008F7618">
            <w:pPr>
              <w:jc w:val="center"/>
              <w:rPr>
                <w:b/>
              </w:rPr>
            </w:pPr>
            <w:r w:rsidRPr="000F6CD0">
              <w:rPr>
                <w:b/>
              </w:rPr>
              <w:t>Agenda Item</w:t>
            </w:r>
          </w:p>
        </w:tc>
        <w:tc>
          <w:tcPr>
            <w:tcW w:w="4863" w:type="dxa"/>
            <w:shd w:val="clear" w:color="auto" w:fill="BDD6EE" w:themeFill="accent1" w:themeFillTint="66"/>
          </w:tcPr>
          <w:p w14:paraId="4AFE23A4" w14:textId="77777777" w:rsidR="009017F3" w:rsidRPr="000F6CD0" w:rsidRDefault="009017F3" w:rsidP="008F7618">
            <w:pPr>
              <w:jc w:val="center"/>
              <w:rPr>
                <w:b/>
              </w:rPr>
            </w:pPr>
            <w:r w:rsidRPr="000F6CD0">
              <w:rPr>
                <w:b/>
              </w:rPr>
              <w:t>Discussion</w:t>
            </w:r>
          </w:p>
        </w:tc>
        <w:tc>
          <w:tcPr>
            <w:tcW w:w="2528" w:type="dxa"/>
            <w:shd w:val="clear" w:color="auto" w:fill="BDD6EE" w:themeFill="accent1" w:themeFillTint="66"/>
          </w:tcPr>
          <w:p w14:paraId="66A9C209" w14:textId="77777777" w:rsidR="009017F3" w:rsidRPr="000F6CD0" w:rsidRDefault="009017F3" w:rsidP="008F7618">
            <w:pPr>
              <w:rPr>
                <w:b/>
              </w:rPr>
            </w:pPr>
            <w:r w:rsidRPr="000F6CD0">
              <w:rPr>
                <w:b/>
              </w:rPr>
              <w:t>Recommendation/Action</w:t>
            </w:r>
          </w:p>
        </w:tc>
      </w:tr>
      <w:tr w:rsidR="009017F3" w14:paraId="5C86EB96" w14:textId="77777777" w:rsidTr="00CA1C82">
        <w:tc>
          <w:tcPr>
            <w:tcW w:w="2414" w:type="dxa"/>
          </w:tcPr>
          <w:p w14:paraId="17337E17" w14:textId="77777777" w:rsidR="009017F3" w:rsidRPr="00FA454B" w:rsidRDefault="009017F3" w:rsidP="00FA454B">
            <w:pPr>
              <w:pStyle w:val="ListParagraph"/>
              <w:numPr>
                <w:ilvl w:val="0"/>
                <w:numId w:val="3"/>
              </w:numPr>
              <w:rPr>
                <w:b/>
                <w:sz w:val="24"/>
                <w:szCs w:val="24"/>
              </w:rPr>
            </w:pPr>
            <w:r w:rsidRPr="00FA454B">
              <w:rPr>
                <w:b/>
                <w:sz w:val="24"/>
                <w:szCs w:val="24"/>
              </w:rPr>
              <w:t>Call to Order</w:t>
            </w:r>
          </w:p>
        </w:tc>
        <w:tc>
          <w:tcPr>
            <w:tcW w:w="4863" w:type="dxa"/>
          </w:tcPr>
          <w:p w14:paraId="672A6659" w14:textId="066943D4" w:rsidR="005F79B1" w:rsidRDefault="00B121CE" w:rsidP="008F7618">
            <w:r>
              <w:t>Winnie Ko</w:t>
            </w:r>
            <w:r w:rsidR="009017F3">
              <w:t xml:space="preserve"> </w:t>
            </w:r>
            <w:r w:rsidR="005F79B1">
              <w:t>called meeting to order at</w:t>
            </w:r>
            <w:r w:rsidR="00012380">
              <w:t xml:space="preserve"> </w:t>
            </w:r>
            <w:r w:rsidR="005F79B1">
              <w:t xml:space="preserve"> </w:t>
            </w:r>
            <w:r w:rsidR="00DC141D">
              <w:t>12:</w:t>
            </w:r>
            <w:r w:rsidR="009673A6">
              <w:t>30</w:t>
            </w:r>
          </w:p>
        </w:tc>
        <w:tc>
          <w:tcPr>
            <w:tcW w:w="2528" w:type="dxa"/>
          </w:tcPr>
          <w:p w14:paraId="0A37501D" w14:textId="77777777" w:rsidR="009017F3" w:rsidRDefault="009017F3" w:rsidP="008F7618"/>
        </w:tc>
      </w:tr>
      <w:tr w:rsidR="000F6CD0" w14:paraId="5DAB6C7B" w14:textId="77777777" w:rsidTr="00CA1C82">
        <w:tc>
          <w:tcPr>
            <w:tcW w:w="2414" w:type="dxa"/>
            <w:shd w:val="clear" w:color="auto" w:fill="BDD6EE" w:themeFill="accent1" w:themeFillTint="66"/>
          </w:tcPr>
          <w:p w14:paraId="02EB378F" w14:textId="77777777" w:rsidR="000F6CD0" w:rsidRPr="00FA454B" w:rsidRDefault="000F6CD0" w:rsidP="000F6CD0">
            <w:pPr>
              <w:pStyle w:val="ListParagraph"/>
              <w:rPr>
                <w:b/>
                <w:sz w:val="24"/>
                <w:szCs w:val="24"/>
              </w:rPr>
            </w:pPr>
          </w:p>
        </w:tc>
        <w:tc>
          <w:tcPr>
            <w:tcW w:w="4863" w:type="dxa"/>
            <w:shd w:val="clear" w:color="auto" w:fill="BDD6EE" w:themeFill="accent1" w:themeFillTint="66"/>
          </w:tcPr>
          <w:p w14:paraId="6A05A809" w14:textId="77777777" w:rsidR="000F6CD0" w:rsidRDefault="000F6CD0" w:rsidP="008F7618"/>
        </w:tc>
        <w:tc>
          <w:tcPr>
            <w:tcW w:w="2528" w:type="dxa"/>
            <w:shd w:val="clear" w:color="auto" w:fill="BDD6EE" w:themeFill="accent1" w:themeFillTint="66"/>
          </w:tcPr>
          <w:p w14:paraId="5A39BBE3" w14:textId="77777777" w:rsidR="000F6CD0" w:rsidRDefault="000F6CD0" w:rsidP="008F7618"/>
        </w:tc>
      </w:tr>
      <w:tr w:rsidR="009017F3" w14:paraId="12B55489" w14:textId="77777777" w:rsidTr="00CA1C82">
        <w:tc>
          <w:tcPr>
            <w:tcW w:w="2414" w:type="dxa"/>
          </w:tcPr>
          <w:p w14:paraId="15EB67AA" w14:textId="77777777" w:rsidR="009017F3" w:rsidRPr="00FA454B" w:rsidRDefault="009017F3" w:rsidP="00FA454B">
            <w:pPr>
              <w:pStyle w:val="ListParagraph"/>
              <w:numPr>
                <w:ilvl w:val="0"/>
                <w:numId w:val="3"/>
              </w:numPr>
              <w:rPr>
                <w:b/>
                <w:sz w:val="24"/>
                <w:szCs w:val="24"/>
              </w:rPr>
            </w:pPr>
            <w:r w:rsidRPr="00FA454B">
              <w:rPr>
                <w:b/>
                <w:sz w:val="24"/>
                <w:szCs w:val="24"/>
              </w:rPr>
              <w:t>Approval of Minutes</w:t>
            </w:r>
          </w:p>
        </w:tc>
        <w:tc>
          <w:tcPr>
            <w:tcW w:w="4863" w:type="dxa"/>
          </w:tcPr>
          <w:p w14:paraId="75EF678D" w14:textId="3AFFEAB8" w:rsidR="00D87610" w:rsidRDefault="001A76EB" w:rsidP="008F7618">
            <w:r>
              <w:t>No corrections</w:t>
            </w:r>
          </w:p>
        </w:tc>
        <w:tc>
          <w:tcPr>
            <w:tcW w:w="2528" w:type="dxa"/>
          </w:tcPr>
          <w:p w14:paraId="2B098C59" w14:textId="77777777" w:rsidR="00351490" w:rsidRDefault="001A76EB" w:rsidP="00D31153">
            <w:r>
              <w:t>Motion by S. Phillips to approve minutes.</w:t>
            </w:r>
          </w:p>
          <w:p w14:paraId="3C3490A3" w14:textId="77777777" w:rsidR="001A76EB" w:rsidRDefault="001A76EB" w:rsidP="00D31153">
            <w:r>
              <w:t>Second by J. Kinne</w:t>
            </w:r>
          </w:p>
          <w:p w14:paraId="1C41E98C" w14:textId="50268F1D" w:rsidR="001A76EB" w:rsidRDefault="001A76EB" w:rsidP="00D31153">
            <w:r>
              <w:t>(7-0-1)</w:t>
            </w:r>
          </w:p>
        </w:tc>
      </w:tr>
      <w:tr w:rsidR="009017F3" w14:paraId="2D255667" w14:textId="77777777" w:rsidTr="00CA1C82">
        <w:tc>
          <w:tcPr>
            <w:tcW w:w="2414" w:type="dxa"/>
          </w:tcPr>
          <w:p w14:paraId="1299C43A" w14:textId="73C8FA2E" w:rsidR="009017F3" w:rsidRPr="009673A6" w:rsidRDefault="1A074E58" w:rsidP="008F7618">
            <w:pPr>
              <w:pStyle w:val="ListParagraph"/>
              <w:numPr>
                <w:ilvl w:val="0"/>
                <w:numId w:val="3"/>
              </w:numPr>
              <w:rPr>
                <w:b/>
                <w:bCs/>
                <w:color w:val="000000" w:themeColor="text1"/>
              </w:rPr>
            </w:pPr>
            <w:r w:rsidRPr="1A074E58">
              <w:rPr>
                <w:b/>
                <w:bCs/>
                <w:sz w:val="24"/>
                <w:szCs w:val="24"/>
              </w:rPr>
              <w:t>Review of</w:t>
            </w:r>
            <w:r w:rsidR="009673A6">
              <w:rPr>
                <w:b/>
                <w:bCs/>
                <w:sz w:val="24"/>
                <w:szCs w:val="24"/>
              </w:rPr>
              <w:t xml:space="preserve"> </w:t>
            </w:r>
            <w:r w:rsidR="001A76EB">
              <w:rPr>
                <w:b/>
                <w:bCs/>
                <w:sz w:val="24"/>
                <w:szCs w:val="24"/>
              </w:rPr>
              <w:t>Merchandising Minor (Non-TAM Majors)</w:t>
            </w:r>
          </w:p>
          <w:p w14:paraId="4DDBEF00" w14:textId="78AB294F" w:rsidR="009017F3" w:rsidRPr="00637E20" w:rsidRDefault="009017F3" w:rsidP="008F7618"/>
        </w:tc>
        <w:tc>
          <w:tcPr>
            <w:tcW w:w="4863" w:type="dxa"/>
          </w:tcPr>
          <w:p w14:paraId="7526F29A" w14:textId="38AD8473" w:rsidR="00022204" w:rsidRDefault="001A76EB" w:rsidP="008500C3">
            <w:r>
              <w:rPr>
                <w:rFonts w:ascii="Calibri" w:eastAsia="Calibri" w:hAnsi="Calibri" w:cs="Calibri"/>
                <w:sz w:val="24"/>
                <w:szCs w:val="24"/>
              </w:rPr>
              <w:t>Dr. Amanda Muhammad representing the Department of Human Resources Development and Performance Technologies presented the arguments for a new program—a Merchandising Minor (Non-TAM majors)</w:t>
            </w:r>
            <w:r w:rsidR="008500C3">
              <w:rPr>
                <w:rFonts w:ascii="Calibri" w:eastAsia="Calibri" w:hAnsi="Calibri" w:cs="Calibri"/>
                <w:sz w:val="24"/>
                <w:szCs w:val="24"/>
              </w:rPr>
              <w:t xml:space="preserve"> for distance and campus students.  </w:t>
            </w:r>
            <w:r w:rsidR="008500C3">
              <w:t>The merchandising minor is proposed for those students who have an interest in fashion buying and planning but who have chosen a different major. This option will be offered both face-to-face and online, and all courses have already been developed.</w:t>
            </w:r>
          </w:p>
          <w:p w14:paraId="73BF0318" w14:textId="77777777" w:rsidR="006C2B79" w:rsidRDefault="006C2B79" w:rsidP="008500C3"/>
          <w:p w14:paraId="5CFCBA2C" w14:textId="01E6AF53" w:rsidR="008500C3" w:rsidRDefault="008500C3" w:rsidP="008500C3">
            <w:r>
              <w:t>J. Kinne raised point to clarify that CAAC is only considering approving the distance option for an already existing minor.</w:t>
            </w:r>
          </w:p>
          <w:p w14:paraId="09E0C385" w14:textId="77777777" w:rsidR="006C2B79" w:rsidRDefault="006C2B79" w:rsidP="008500C3"/>
          <w:p w14:paraId="2EB9644A" w14:textId="0EB979EC" w:rsidR="008500C3" w:rsidRDefault="008500C3" w:rsidP="008500C3">
            <w:r>
              <w:t>Some discussion and clarification with A. Smith that course numbers were in the process of being updated in the catalog.</w:t>
            </w:r>
          </w:p>
          <w:p w14:paraId="7C870A78" w14:textId="77777777" w:rsidR="006C2B79" w:rsidRDefault="006C2B79" w:rsidP="008500C3"/>
          <w:p w14:paraId="3461D779" w14:textId="4619E469" w:rsidR="008500C3" w:rsidRPr="00FA454B" w:rsidRDefault="008500C3" w:rsidP="008500C3">
            <w:pPr>
              <w:rPr>
                <w:rFonts w:ascii="Calibri" w:eastAsia="Calibri" w:hAnsi="Calibri" w:cs="Calibri"/>
                <w:sz w:val="24"/>
                <w:szCs w:val="24"/>
              </w:rPr>
            </w:pPr>
            <w:r>
              <w:t xml:space="preserve">J. Kinne </w:t>
            </w:r>
            <w:r w:rsidR="006C2B79">
              <w:t>suggested that A. Muhammad follow up with Susan Poers and A. Smith on these course numbering issues.</w:t>
            </w:r>
          </w:p>
        </w:tc>
        <w:tc>
          <w:tcPr>
            <w:tcW w:w="2528" w:type="dxa"/>
          </w:tcPr>
          <w:p w14:paraId="3CF2D8B6" w14:textId="77777777" w:rsidR="009017F3" w:rsidRDefault="009017F3" w:rsidP="008F7618"/>
        </w:tc>
      </w:tr>
      <w:tr w:rsidR="006A4890" w14:paraId="26FCC3A4" w14:textId="77777777" w:rsidTr="00CA1C82">
        <w:tc>
          <w:tcPr>
            <w:tcW w:w="2414" w:type="dxa"/>
          </w:tcPr>
          <w:p w14:paraId="2DCD0301" w14:textId="7DFE2AF3" w:rsidR="006C2B79" w:rsidRPr="009673A6" w:rsidRDefault="006C2B79" w:rsidP="006C2B79">
            <w:pPr>
              <w:pStyle w:val="ListParagraph"/>
              <w:numPr>
                <w:ilvl w:val="0"/>
                <w:numId w:val="3"/>
              </w:numPr>
              <w:rPr>
                <w:b/>
                <w:bCs/>
                <w:color w:val="000000" w:themeColor="text1"/>
              </w:rPr>
            </w:pPr>
            <w:r w:rsidRPr="1A074E58">
              <w:rPr>
                <w:b/>
                <w:bCs/>
                <w:sz w:val="24"/>
                <w:szCs w:val="24"/>
              </w:rPr>
              <w:t>Review of</w:t>
            </w:r>
            <w:r>
              <w:rPr>
                <w:b/>
                <w:bCs/>
                <w:sz w:val="24"/>
                <w:szCs w:val="24"/>
              </w:rPr>
              <w:t xml:space="preserve"> Accelerated </w:t>
            </w:r>
            <w:r>
              <w:rPr>
                <w:b/>
                <w:bCs/>
                <w:sz w:val="24"/>
                <w:szCs w:val="24"/>
              </w:rPr>
              <w:lastRenderedPageBreak/>
              <w:t>Dietetics Program</w:t>
            </w:r>
          </w:p>
          <w:p w14:paraId="7639ACF8" w14:textId="105BD37C" w:rsidR="006A4890" w:rsidRPr="1A074E58" w:rsidRDefault="006A4890" w:rsidP="006C2B79">
            <w:pPr>
              <w:pStyle w:val="ListParagraph"/>
              <w:rPr>
                <w:b/>
                <w:bCs/>
                <w:sz w:val="24"/>
                <w:szCs w:val="24"/>
              </w:rPr>
            </w:pPr>
          </w:p>
        </w:tc>
        <w:tc>
          <w:tcPr>
            <w:tcW w:w="4863" w:type="dxa"/>
          </w:tcPr>
          <w:p w14:paraId="1DAD9909" w14:textId="630AC604" w:rsidR="006A4890" w:rsidRPr="006A4890" w:rsidRDefault="006C2B79" w:rsidP="1A074E58">
            <w:r>
              <w:lastRenderedPageBreak/>
              <w:t xml:space="preserve">Dr. Mark McInerney representing the Department of Applied Health Sciences presented arguments </w:t>
            </w:r>
            <w:r>
              <w:lastRenderedPageBreak/>
              <w:t>for a New Program—Accelerated Dietetics.  After passing out a visual aid of the proposed program and how it fits in with the new Nutrition and Wellness major, M. McInerney explained that the Accelerated Dietetics 4 + 1 program, resulting in a masters degree, was necessary due to new professional requirements and that this program gives ISU an advantage over other programs in the state that require more time.  At any point a student may opt out of the program and could transition into the Nutrition and Wellness major.</w:t>
            </w:r>
            <w:r w:rsidR="0001165E">
              <w:t xml:space="preserve">  The Graduate School has approved this program.</w:t>
            </w:r>
          </w:p>
        </w:tc>
        <w:tc>
          <w:tcPr>
            <w:tcW w:w="2528" w:type="dxa"/>
          </w:tcPr>
          <w:p w14:paraId="27D4BA53" w14:textId="77777777" w:rsidR="006A4890" w:rsidRDefault="006A4890" w:rsidP="008F7618"/>
        </w:tc>
      </w:tr>
      <w:tr w:rsidR="006A4890" w14:paraId="6840E6BF" w14:textId="77777777" w:rsidTr="00CA1C82">
        <w:tc>
          <w:tcPr>
            <w:tcW w:w="2414" w:type="dxa"/>
          </w:tcPr>
          <w:p w14:paraId="5EBB7A54" w14:textId="4B6275F9" w:rsidR="006A4890" w:rsidRDefault="006C2B79" w:rsidP="0001165E">
            <w:pPr>
              <w:pStyle w:val="ListParagraph"/>
              <w:numPr>
                <w:ilvl w:val="0"/>
                <w:numId w:val="3"/>
              </w:numPr>
              <w:rPr>
                <w:b/>
                <w:bCs/>
                <w:sz w:val="24"/>
                <w:szCs w:val="24"/>
              </w:rPr>
            </w:pPr>
            <w:r w:rsidRPr="1A074E58">
              <w:rPr>
                <w:b/>
                <w:bCs/>
                <w:sz w:val="24"/>
                <w:szCs w:val="24"/>
              </w:rPr>
              <w:t>Review of</w:t>
            </w:r>
            <w:r w:rsidR="0001165E">
              <w:rPr>
                <w:b/>
                <w:bCs/>
                <w:sz w:val="24"/>
                <w:szCs w:val="24"/>
              </w:rPr>
              <w:t xml:space="preserve"> FREN 201 &amp; 202; GERM 201 &amp; 202; LAT 201 &amp; 202; and SPAN 201 202 for FS: Global Perspectives and Cultural Diversity </w:t>
            </w:r>
          </w:p>
        </w:tc>
        <w:tc>
          <w:tcPr>
            <w:tcW w:w="4863" w:type="dxa"/>
          </w:tcPr>
          <w:p w14:paraId="0FDE4C4F" w14:textId="1E4556A3" w:rsidR="006A4890" w:rsidRDefault="0001165E" w:rsidP="006A4890">
            <w:r>
              <w:t>Dr. Ann Rider representing the Department of Languages, Literatures, and Linguistics presented arguments for having these courses approved for fulfilling the FS: GPCD category.  A. Rider explained that since the recent FS change moved languages under FS: GPCD, some students who qualify for to take the 201/202 level of coursework, particularly those aiming for a BA degree, would benefit from allowing these courses to count.  A. Rider noted that the department had piloted this for a year and examined artifacts</w:t>
            </w:r>
            <w:r w:rsidR="00CA1C82">
              <w:t xml:space="preserve"> supporting that these courses will meet the GPCD outcomes standards, owing particularly to their focus on “cultural competencies.”</w:t>
            </w:r>
          </w:p>
          <w:p w14:paraId="60898DB9" w14:textId="77777777" w:rsidR="00CA1C82" w:rsidRDefault="00CA1C82" w:rsidP="006A4890"/>
          <w:p w14:paraId="5950CAF8" w14:textId="2C8854E0" w:rsidR="00CA1C82" w:rsidRDefault="00CA1C82" w:rsidP="00CA1C82">
            <w:r>
              <w:t>S. Phillips raised a question with regard to the justification for Latin to be included, since one could argue it is more historical in nature.  A. Rider countered that the Latin classes do, however, build cultural competency skills specified under GPCD outcomes.  She offered to supply the appropriate syllabi to the committee.</w:t>
            </w:r>
          </w:p>
        </w:tc>
        <w:tc>
          <w:tcPr>
            <w:tcW w:w="2528" w:type="dxa"/>
          </w:tcPr>
          <w:p w14:paraId="0B877FDD" w14:textId="77777777" w:rsidR="006A4890" w:rsidRDefault="006A4890" w:rsidP="008F7618"/>
        </w:tc>
      </w:tr>
      <w:tr w:rsidR="009673A6" w14:paraId="439A79B6" w14:textId="77777777" w:rsidTr="00CA1C82">
        <w:tc>
          <w:tcPr>
            <w:tcW w:w="2414" w:type="dxa"/>
            <w:shd w:val="clear" w:color="auto" w:fill="BDD6EE" w:themeFill="accent1" w:themeFillTint="66"/>
          </w:tcPr>
          <w:p w14:paraId="1DCE8CDC" w14:textId="7376CC62" w:rsidR="009673A6" w:rsidRPr="00FA454B" w:rsidRDefault="009673A6" w:rsidP="1C078F83">
            <w:pPr>
              <w:ind w:left="360"/>
              <w:rPr>
                <w:rFonts w:eastAsia="Times New Roman" w:cs="Times New Roman"/>
                <w:b/>
                <w:bCs/>
                <w:color w:val="000000" w:themeColor="text1"/>
              </w:rPr>
            </w:pPr>
          </w:p>
        </w:tc>
        <w:tc>
          <w:tcPr>
            <w:tcW w:w="4863" w:type="dxa"/>
            <w:shd w:val="clear" w:color="auto" w:fill="BDD6EE" w:themeFill="accent1" w:themeFillTint="66"/>
          </w:tcPr>
          <w:p w14:paraId="0FB78278" w14:textId="59F88F4E" w:rsidR="009673A6" w:rsidRDefault="009673A6" w:rsidP="1A074E58">
            <w:pPr>
              <w:rPr>
                <w:rFonts w:ascii="Calibri" w:eastAsia="Calibri" w:hAnsi="Calibri" w:cs="Calibri"/>
                <w:sz w:val="24"/>
                <w:szCs w:val="24"/>
              </w:rPr>
            </w:pPr>
          </w:p>
        </w:tc>
        <w:tc>
          <w:tcPr>
            <w:tcW w:w="2528" w:type="dxa"/>
            <w:shd w:val="clear" w:color="auto" w:fill="BDD6EE" w:themeFill="accent1" w:themeFillTint="66"/>
          </w:tcPr>
          <w:p w14:paraId="1FC39945" w14:textId="77777777" w:rsidR="009673A6" w:rsidRDefault="009673A6" w:rsidP="008F7618"/>
        </w:tc>
      </w:tr>
      <w:tr w:rsidR="009673A6" w14:paraId="0562CB0E" w14:textId="77777777" w:rsidTr="00CA1C82">
        <w:tc>
          <w:tcPr>
            <w:tcW w:w="2414" w:type="dxa"/>
          </w:tcPr>
          <w:p w14:paraId="34CE0A41" w14:textId="369EABFD" w:rsidR="009673A6" w:rsidRPr="00E70ECD" w:rsidRDefault="009673A6" w:rsidP="006C2B79">
            <w:pPr>
              <w:pStyle w:val="ListParagraph"/>
              <w:numPr>
                <w:ilvl w:val="0"/>
                <w:numId w:val="3"/>
              </w:numPr>
              <w:rPr>
                <w:rFonts w:eastAsia="Times New Roman" w:cs="Times New Roman"/>
                <w:b/>
                <w:color w:val="000000"/>
              </w:rPr>
            </w:pPr>
            <w:r w:rsidRPr="00E70ECD">
              <w:rPr>
                <w:b/>
                <w:bCs/>
              </w:rPr>
              <w:t>Chair’s Report and Executive Action Items</w:t>
            </w:r>
          </w:p>
        </w:tc>
        <w:tc>
          <w:tcPr>
            <w:tcW w:w="4863" w:type="dxa"/>
          </w:tcPr>
          <w:p w14:paraId="62EBF3C5" w14:textId="79B4FCB7" w:rsidR="00166088" w:rsidRDefault="001A66FC" w:rsidP="00FA454B">
            <w:r>
              <w:t>W. Ko noted that CAAC may not meet for two weeks.  She will notify the committee regarding our next meeting.</w:t>
            </w:r>
          </w:p>
        </w:tc>
        <w:tc>
          <w:tcPr>
            <w:tcW w:w="2528" w:type="dxa"/>
          </w:tcPr>
          <w:p w14:paraId="6D98A12B" w14:textId="44EF94C4" w:rsidR="009673A6" w:rsidRDefault="009673A6" w:rsidP="008F7618"/>
        </w:tc>
      </w:tr>
      <w:tr w:rsidR="009673A6" w14:paraId="242E4A8F" w14:textId="77777777" w:rsidTr="00CA1C82">
        <w:tc>
          <w:tcPr>
            <w:tcW w:w="2414" w:type="dxa"/>
            <w:shd w:val="clear" w:color="auto" w:fill="BDD6EE" w:themeFill="accent1" w:themeFillTint="66"/>
          </w:tcPr>
          <w:p w14:paraId="52E56223" w14:textId="77777777" w:rsidR="009673A6" w:rsidRPr="00022204" w:rsidRDefault="009673A6" w:rsidP="00022204"/>
        </w:tc>
        <w:tc>
          <w:tcPr>
            <w:tcW w:w="4863" w:type="dxa"/>
            <w:shd w:val="clear" w:color="auto" w:fill="BDD6EE" w:themeFill="accent1" w:themeFillTint="66"/>
          </w:tcPr>
          <w:p w14:paraId="6DFB9E20" w14:textId="77777777" w:rsidR="009673A6" w:rsidRDefault="009673A6" w:rsidP="008F7618"/>
        </w:tc>
        <w:tc>
          <w:tcPr>
            <w:tcW w:w="2528" w:type="dxa"/>
            <w:shd w:val="clear" w:color="auto" w:fill="BDD6EE" w:themeFill="accent1" w:themeFillTint="66"/>
          </w:tcPr>
          <w:p w14:paraId="1DB5DCFB" w14:textId="15B9EFC6" w:rsidR="009673A6" w:rsidRDefault="009673A6" w:rsidP="000F6CD0"/>
        </w:tc>
      </w:tr>
      <w:tr w:rsidR="009673A6" w14:paraId="738610EB" w14:textId="77777777" w:rsidTr="00CA1C82">
        <w:tc>
          <w:tcPr>
            <w:tcW w:w="2414" w:type="dxa"/>
          </w:tcPr>
          <w:p w14:paraId="637805D2" w14:textId="2F596600" w:rsidR="009673A6" w:rsidRPr="00E70ECD" w:rsidRDefault="009673A6" w:rsidP="006C2B79">
            <w:pPr>
              <w:pStyle w:val="ListParagraph"/>
              <w:numPr>
                <w:ilvl w:val="0"/>
                <w:numId w:val="3"/>
              </w:numPr>
              <w:rPr>
                <w:b/>
              </w:rPr>
            </w:pPr>
            <w:r w:rsidRPr="00E70ECD">
              <w:rPr>
                <w:b/>
                <w:bCs/>
              </w:rPr>
              <w:t>Executive Committee Report</w:t>
            </w:r>
          </w:p>
        </w:tc>
        <w:tc>
          <w:tcPr>
            <w:tcW w:w="4863" w:type="dxa"/>
          </w:tcPr>
          <w:p w14:paraId="463F29E8" w14:textId="5EECE784" w:rsidR="009673A6" w:rsidRDefault="001A66FC" w:rsidP="008F7618">
            <w:r>
              <w:t xml:space="preserve">S. Phillips raised the question with Senate Exec regarding the seeming “new” charges to CAAC dealing with tracking or assessing whether new programs were fulfilling the outcomes envisioned in the proposals.  Senate Exec clarified that CAAC should continue performing its usual function.  There was desire to consult with S. Powers </w:t>
            </w:r>
            <w:r>
              <w:lastRenderedPageBreak/>
              <w:t>regarding some of the institutional history of CAAC and its charges.</w:t>
            </w:r>
          </w:p>
        </w:tc>
        <w:tc>
          <w:tcPr>
            <w:tcW w:w="2528" w:type="dxa"/>
          </w:tcPr>
          <w:p w14:paraId="3B7B4B86" w14:textId="7B0F6F8C" w:rsidR="009673A6" w:rsidRDefault="009673A6" w:rsidP="008F7618"/>
        </w:tc>
      </w:tr>
      <w:tr w:rsidR="009673A6" w14:paraId="627F0DBB" w14:textId="77777777" w:rsidTr="00CA1C82">
        <w:tc>
          <w:tcPr>
            <w:tcW w:w="2414" w:type="dxa"/>
            <w:shd w:val="clear" w:color="auto" w:fill="BDD6EE" w:themeFill="accent1" w:themeFillTint="66"/>
          </w:tcPr>
          <w:p w14:paraId="5E258089" w14:textId="1EA8932C" w:rsidR="009673A6" w:rsidRPr="00E70ECD" w:rsidRDefault="009673A6" w:rsidP="00E70ECD">
            <w:pPr>
              <w:rPr>
                <w:b/>
                <w:bCs/>
              </w:rPr>
            </w:pPr>
          </w:p>
        </w:tc>
        <w:tc>
          <w:tcPr>
            <w:tcW w:w="4863" w:type="dxa"/>
            <w:shd w:val="clear" w:color="auto" w:fill="BDD6EE" w:themeFill="accent1" w:themeFillTint="66"/>
          </w:tcPr>
          <w:p w14:paraId="5AA6B9DB" w14:textId="4422CB7C" w:rsidR="009673A6" w:rsidRDefault="009673A6" w:rsidP="008F7618"/>
        </w:tc>
        <w:tc>
          <w:tcPr>
            <w:tcW w:w="2528" w:type="dxa"/>
            <w:shd w:val="clear" w:color="auto" w:fill="BDD6EE" w:themeFill="accent1" w:themeFillTint="66"/>
          </w:tcPr>
          <w:p w14:paraId="3A0FF5F2" w14:textId="05E53F59" w:rsidR="009673A6" w:rsidRDefault="009673A6" w:rsidP="00FB4F82"/>
        </w:tc>
      </w:tr>
      <w:tr w:rsidR="001A66FC" w14:paraId="0A031CB5" w14:textId="77777777" w:rsidTr="00CA1C82">
        <w:tc>
          <w:tcPr>
            <w:tcW w:w="2414" w:type="dxa"/>
          </w:tcPr>
          <w:p w14:paraId="6990B81E" w14:textId="77777777" w:rsidR="001A66FC" w:rsidRPr="00CE4364" w:rsidRDefault="001A66FC" w:rsidP="001A66FC">
            <w:pPr>
              <w:rPr>
                <w:i/>
              </w:rPr>
            </w:pPr>
            <w:r w:rsidRPr="00CE4364">
              <w:rPr>
                <w:i/>
              </w:rPr>
              <w:t>Motion to Suspend the rules</w:t>
            </w:r>
          </w:p>
          <w:p w14:paraId="6FF43F0C" w14:textId="77777777" w:rsidR="001A66FC" w:rsidRDefault="001A66FC" w:rsidP="001A66FC"/>
          <w:p w14:paraId="08239BA2" w14:textId="77777777" w:rsidR="001A66FC" w:rsidRDefault="001A66FC" w:rsidP="001A66FC"/>
          <w:p w14:paraId="59165B75" w14:textId="77777777" w:rsidR="001A66FC" w:rsidRDefault="001A66FC" w:rsidP="001A66FC"/>
          <w:p w14:paraId="07BF326D" w14:textId="77777777" w:rsidR="001A66FC" w:rsidRPr="008521ED" w:rsidRDefault="001A66FC" w:rsidP="001A66FC">
            <w:pPr>
              <w:ind w:left="360"/>
            </w:pPr>
          </w:p>
        </w:tc>
        <w:tc>
          <w:tcPr>
            <w:tcW w:w="4863" w:type="dxa"/>
          </w:tcPr>
          <w:p w14:paraId="49BF8DE4" w14:textId="77777777" w:rsidR="001A66FC" w:rsidRPr="00CE4364" w:rsidRDefault="001A66FC" w:rsidP="001A66FC">
            <w:pPr>
              <w:rPr>
                <w:i/>
              </w:rPr>
            </w:pPr>
            <w:r w:rsidRPr="00CE4364">
              <w:rPr>
                <w:i/>
              </w:rPr>
              <w:t>Note – CAAC default rules do not allow curriculum to be voted on at the same meeting it was presented.  The committee can vote to suspend these rules in order to vote at the same meeting (i.e., to avoid needing to meet only to vote, or to get a proposal moved along a week sooner).</w:t>
            </w:r>
          </w:p>
          <w:p w14:paraId="4F842B5E" w14:textId="77777777" w:rsidR="001A66FC" w:rsidRPr="007B4915" w:rsidRDefault="001A66FC" w:rsidP="001A66FC"/>
        </w:tc>
        <w:tc>
          <w:tcPr>
            <w:tcW w:w="2528" w:type="dxa"/>
          </w:tcPr>
          <w:p w14:paraId="1C80888C" w14:textId="77777777" w:rsidR="001A66FC" w:rsidRDefault="001A66FC" w:rsidP="001A66FC"/>
        </w:tc>
      </w:tr>
      <w:tr w:rsidR="001A66FC" w14:paraId="43FDA759" w14:textId="77777777" w:rsidTr="00CA1C82">
        <w:tc>
          <w:tcPr>
            <w:tcW w:w="2414" w:type="dxa"/>
          </w:tcPr>
          <w:p w14:paraId="347107EC" w14:textId="118D2DEE" w:rsidR="001A66FC" w:rsidRDefault="00104D12" w:rsidP="001A66F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Motion to Suspend the Rules</w:t>
            </w:r>
          </w:p>
        </w:tc>
        <w:tc>
          <w:tcPr>
            <w:tcW w:w="4863" w:type="dxa"/>
          </w:tcPr>
          <w:p w14:paraId="6F49BD1A" w14:textId="77777777" w:rsidR="001A66FC" w:rsidRPr="00877C3F" w:rsidRDefault="001A66FC" w:rsidP="001A66FC">
            <w:pPr>
              <w:rPr>
                <w:b/>
              </w:rPr>
            </w:pPr>
          </w:p>
        </w:tc>
        <w:tc>
          <w:tcPr>
            <w:tcW w:w="2528" w:type="dxa"/>
          </w:tcPr>
          <w:p w14:paraId="32F68447" w14:textId="77777777" w:rsidR="001A66FC" w:rsidRDefault="00104D12" w:rsidP="001A66FC">
            <w:r>
              <w:t>Motion by J. Kinne</w:t>
            </w:r>
          </w:p>
          <w:p w14:paraId="3270CDE4" w14:textId="18EC670C" w:rsidR="00104D12" w:rsidRDefault="00104D12" w:rsidP="001A66FC">
            <w:r>
              <w:t>Seconded by S. Phillips</w:t>
            </w:r>
          </w:p>
          <w:p w14:paraId="7AE87C83" w14:textId="4F2DE01C" w:rsidR="00104D12" w:rsidRDefault="00104D12" w:rsidP="001A66FC">
            <w:r>
              <w:t>(8-0) approved</w:t>
            </w:r>
          </w:p>
        </w:tc>
      </w:tr>
      <w:tr w:rsidR="00104D12" w14:paraId="0173C414" w14:textId="77777777" w:rsidTr="00CA1C82">
        <w:tc>
          <w:tcPr>
            <w:tcW w:w="2414" w:type="dxa"/>
          </w:tcPr>
          <w:p w14:paraId="490CBF0D" w14:textId="12B015F0" w:rsidR="00104D12" w:rsidRDefault="00104D12" w:rsidP="001A66F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Motion to Approve Merchandising Minor (Non-TAM majors)</w:t>
            </w:r>
          </w:p>
        </w:tc>
        <w:tc>
          <w:tcPr>
            <w:tcW w:w="4863" w:type="dxa"/>
          </w:tcPr>
          <w:p w14:paraId="090A2C0B" w14:textId="77777777" w:rsidR="00104D12" w:rsidRPr="00877C3F" w:rsidRDefault="00104D12" w:rsidP="001A66FC">
            <w:pPr>
              <w:rPr>
                <w:b/>
              </w:rPr>
            </w:pPr>
          </w:p>
        </w:tc>
        <w:tc>
          <w:tcPr>
            <w:tcW w:w="2528" w:type="dxa"/>
          </w:tcPr>
          <w:p w14:paraId="532AA0B1" w14:textId="77777777" w:rsidR="00104D12" w:rsidRDefault="00104D12" w:rsidP="001A66FC">
            <w:r>
              <w:t>Motion by J. Kinne</w:t>
            </w:r>
          </w:p>
          <w:p w14:paraId="36824365" w14:textId="21C7E8FD" w:rsidR="00104D12" w:rsidRDefault="00104D12" w:rsidP="001A66FC">
            <w:r>
              <w:t>Seconded by R. Bauer</w:t>
            </w:r>
          </w:p>
          <w:p w14:paraId="66485F10" w14:textId="39202FC4" w:rsidR="00104D12" w:rsidRDefault="00104D12" w:rsidP="001A66FC">
            <w:r>
              <w:t>(8-0)</w:t>
            </w:r>
          </w:p>
        </w:tc>
      </w:tr>
      <w:tr w:rsidR="00104D12" w14:paraId="4C4B3B1A" w14:textId="77777777" w:rsidTr="00CA1C82">
        <w:tc>
          <w:tcPr>
            <w:tcW w:w="2414" w:type="dxa"/>
          </w:tcPr>
          <w:p w14:paraId="6E015845" w14:textId="77777777" w:rsidR="00104D12" w:rsidRDefault="00104D12" w:rsidP="001A66F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Motion to Approve</w:t>
            </w:r>
          </w:p>
          <w:p w14:paraId="332F3243" w14:textId="34B56BA6" w:rsidR="00104D12" w:rsidRDefault="00104D12" w:rsidP="001A66F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Accelerated Dietetics</w:t>
            </w:r>
          </w:p>
        </w:tc>
        <w:tc>
          <w:tcPr>
            <w:tcW w:w="4863" w:type="dxa"/>
          </w:tcPr>
          <w:p w14:paraId="34A80E1B" w14:textId="77777777" w:rsidR="00104D12" w:rsidRPr="00877C3F" w:rsidRDefault="00104D12" w:rsidP="001A66FC">
            <w:pPr>
              <w:rPr>
                <w:b/>
              </w:rPr>
            </w:pPr>
          </w:p>
        </w:tc>
        <w:tc>
          <w:tcPr>
            <w:tcW w:w="2528" w:type="dxa"/>
          </w:tcPr>
          <w:p w14:paraId="49045D19" w14:textId="77777777" w:rsidR="00104D12" w:rsidRDefault="00104D12" w:rsidP="001A66FC">
            <w:r>
              <w:t>Motion by R. Bauer</w:t>
            </w:r>
          </w:p>
          <w:p w14:paraId="487E3AD8" w14:textId="77777777" w:rsidR="00104D12" w:rsidRDefault="00104D12" w:rsidP="001A66FC">
            <w:r>
              <w:t>Seconded by S. Phillips</w:t>
            </w:r>
          </w:p>
          <w:p w14:paraId="2E31EC83" w14:textId="2FD74CC9" w:rsidR="00104D12" w:rsidRDefault="00104D12" w:rsidP="001A66FC">
            <w:r>
              <w:t>(8-0)</w:t>
            </w:r>
          </w:p>
        </w:tc>
      </w:tr>
      <w:tr w:rsidR="00104D12" w14:paraId="12787367" w14:textId="77777777" w:rsidTr="00CA1C82">
        <w:tc>
          <w:tcPr>
            <w:tcW w:w="2414" w:type="dxa"/>
          </w:tcPr>
          <w:p w14:paraId="6698CA53" w14:textId="459B0B42" w:rsidR="00104D12" w:rsidRDefault="00104D12" w:rsidP="001A66F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Motion to Approve FREN 201/202, GERM 201/202, LAT 201/202, &amp; SPAN 201 202</w:t>
            </w:r>
          </w:p>
        </w:tc>
        <w:tc>
          <w:tcPr>
            <w:tcW w:w="4863" w:type="dxa"/>
          </w:tcPr>
          <w:p w14:paraId="0E96B00A" w14:textId="77777777" w:rsidR="00104D12" w:rsidRPr="00877C3F" w:rsidRDefault="00104D12" w:rsidP="001A66FC">
            <w:pPr>
              <w:rPr>
                <w:b/>
              </w:rPr>
            </w:pPr>
          </w:p>
        </w:tc>
        <w:tc>
          <w:tcPr>
            <w:tcW w:w="2528" w:type="dxa"/>
          </w:tcPr>
          <w:p w14:paraId="26E38BDA" w14:textId="77777777" w:rsidR="00104D12" w:rsidRDefault="00104D12" w:rsidP="001A66FC">
            <w:r>
              <w:t>Motion by J. Kinne</w:t>
            </w:r>
          </w:p>
          <w:p w14:paraId="35B4DA8A" w14:textId="77777777" w:rsidR="00104D12" w:rsidRDefault="00104D12" w:rsidP="001A66FC">
            <w:r>
              <w:t>Seconded by E. Whittenmyer</w:t>
            </w:r>
          </w:p>
          <w:p w14:paraId="45EC39F6" w14:textId="28DF44BD" w:rsidR="00104D12" w:rsidRDefault="00104D12" w:rsidP="001A66FC">
            <w:r>
              <w:t>(8-0)</w:t>
            </w:r>
          </w:p>
        </w:tc>
      </w:tr>
      <w:tr w:rsidR="001A66FC" w14:paraId="5408EAD4" w14:textId="77777777" w:rsidTr="000C04FB">
        <w:tc>
          <w:tcPr>
            <w:tcW w:w="2414" w:type="dxa"/>
            <w:shd w:val="clear" w:color="auto" w:fill="BDD6EE" w:themeFill="accent1" w:themeFillTint="66"/>
          </w:tcPr>
          <w:p w14:paraId="4D6BB5A7" w14:textId="77777777" w:rsidR="001A66FC" w:rsidRPr="00E70ECD" w:rsidRDefault="001A66FC" w:rsidP="001A66FC">
            <w:pPr>
              <w:rPr>
                <w:b/>
                <w:bCs/>
              </w:rPr>
            </w:pPr>
          </w:p>
        </w:tc>
        <w:tc>
          <w:tcPr>
            <w:tcW w:w="4863" w:type="dxa"/>
            <w:shd w:val="clear" w:color="auto" w:fill="BDD6EE" w:themeFill="accent1" w:themeFillTint="66"/>
          </w:tcPr>
          <w:p w14:paraId="3824B417" w14:textId="77777777" w:rsidR="001A66FC" w:rsidRDefault="001A66FC" w:rsidP="001A66FC"/>
        </w:tc>
        <w:tc>
          <w:tcPr>
            <w:tcW w:w="2528" w:type="dxa"/>
            <w:shd w:val="clear" w:color="auto" w:fill="BDD6EE" w:themeFill="accent1" w:themeFillTint="66"/>
          </w:tcPr>
          <w:p w14:paraId="731DA9D3" w14:textId="77777777" w:rsidR="001A66FC" w:rsidRDefault="001A66FC" w:rsidP="001A66FC"/>
        </w:tc>
      </w:tr>
      <w:tr w:rsidR="001A66FC" w14:paraId="5630AD66" w14:textId="77777777" w:rsidTr="00CA1C82">
        <w:tc>
          <w:tcPr>
            <w:tcW w:w="2414" w:type="dxa"/>
          </w:tcPr>
          <w:p w14:paraId="61829076" w14:textId="4CF29F41" w:rsidR="001A66FC" w:rsidRPr="00E70ECD" w:rsidRDefault="001A66FC" w:rsidP="001A66FC">
            <w:pPr>
              <w:pStyle w:val="ListParagraph"/>
              <w:numPr>
                <w:ilvl w:val="0"/>
                <w:numId w:val="3"/>
              </w:numPr>
              <w:rPr>
                <w:b/>
              </w:rPr>
            </w:pPr>
            <w:r w:rsidRPr="00E70ECD">
              <w:rPr>
                <w:b/>
                <w:bCs/>
              </w:rPr>
              <w:t>Old Business</w:t>
            </w:r>
          </w:p>
        </w:tc>
        <w:tc>
          <w:tcPr>
            <w:tcW w:w="4863" w:type="dxa"/>
          </w:tcPr>
          <w:p w14:paraId="33198BA1" w14:textId="40AB6103" w:rsidR="001A66FC" w:rsidRDefault="001A66FC" w:rsidP="001A66FC">
            <w:r>
              <w:t>NA</w:t>
            </w:r>
          </w:p>
          <w:p w14:paraId="2BA226A1" w14:textId="77777777" w:rsidR="001A66FC" w:rsidRDefault="001A66FC" w:rsidP="001A66FC"/>
        </w:tc>
        <w:tc>
          <w:tcPr>
            <w:tcW w:w="2528" w:type="dxa"/>
          </w:tcPr>
          <w:p w14:paraId="17AD93B2" w14:textId="57AEE27E" w:rsidR="001A66FC" w:rsidRDefault="001A66FC" w:rsidP="001A66FC"/>
        </w:tc>
      </w:tr>
      <w:tr w:rsidR="001A66FC" w14:paraId="6481C582" w14:textId="77777777" w:rsidTr="00CA1C82">
        <w:tc>
          <w:tcPr>
            <w:tcW w:w="2414" w:type="dxa"/>
            <w:shd w:val="clear" w:color="auto" w:fill="BDD6EE" w:themeFill="accent1" w:themeFillTint="66"/>
          </w:tcPr>
          <w:p w14:paraId="213A52DA" w14:textId="24291F00" w:rsidR="001A66FC" w:rsidRPr="00E70ECD" w:rsidRDefault="001A66FC" w:rsidP="001A66FC">
            <w:pPr>
              <w:rPr>
                <w:b/>
                <w:bCs/>
              </w:rPr>
            </w:pPr>
          </w:p>
        </w:tc>
        <w:tc>
          <w:tcPr>
            <w:tcW w:w="4863" w:type="dxa"/>
            <w:shd w:val="clear" w:color="auto" w:fill="BDD6EE" w:themeFill="accent1" w:themeFillTint="66"/>
          </w:tcPr>
          <w:p w14:paraId="39609875" w14:textId="20532686" w:rsidR="001A66FC" w:rsidRDefault="001A66FC" w:rsidP="001A66FC"/>
        </w:tc>
        <w:tc>
          <w:tcPr>
            <w:tcW w:w="2528" w:type="dxa"/>
            <w:shd w:val="clear" w:color="auto" w:fill="BDD6EE" w:themeFill="accent1" w:themeFillTint="66"/>
          </w:tcPr>
          <w:p w14:paraId="0DE4B5B7" w14:textId="5897095B" w:rsidR="001A66FC" w:rsidRDefault="001A66FC" w:rsidP="001A66FC"/>
        </w:tc>
      </w:tr>
      <w:tr w:rsidR="001A66FC" w14:paraId="66204FF1" w14:textId="77777777" w:rsidTr="00CA1C82">
        <w:tc>
          <w:tcPr>
            <w:tcW w:w="2414" w:type="dxa"/>
          </w:tcPr>
          <w:p w14:paraId="2DBF0D7D" w14:textId="354ED767" w:rsidR="001A66FC" w:rsidRPr="00E70ECD" w:rsidRDefault="001A66FC" w:rsidP="001A66FC">
            <w:pPr>
              <w:rPr>
                <w:b/>
              </w:rPr>
            </w:pPr>
            <w:r w:rsidRPr="00E70ECD">
              <w:rPr>
                <w:b/>
                <w:bCs/>
              </w:rPr>
              <w:t>Adjournment</w:t>
            </w:r>
          </w:p>
        </w:tc>
        <w:tc>
          <w:tcPr>
            <w:tcW w:w="4863" w:type="dxa"/>
          </w:tcPr>
          <w:p w14:paraId="6B62F1B3" w14:textId="57F758C3" w:rsidR="001A66FC" w:rsidRDefault="001A66FC" w:rsidP="00104D12">
            <w:r>
              <w:t xml:space="preserve">Meeting adjourned  </w:t>
            </w:r>
            <w:r w:rsidR="00104D12">
              <w:t>1:15 PM</w:t>
            </w:r>
          </w:p>
        </w:tc>
        <w:tc>
          <w:tcPr>
            <w:tcW w:w="2528" w:type="dxa"/>
          </w:tcPr>
          <w:p w14:paraId="1F5C4F15" w14:textId="38701EFB" w:rsidR="001A66FC" w:rsidRDefault="001A66FC" w:rsidP="001A66FC">
            <w:r>
              <w:t xml:space="preserve">Motion by </w:t>
            </w:r>
            <w:r w:rsidR="00104D12">
              <w:t>J. Kinne</w:t>
            </w:r>
          </w:p>
          <w:p w14:paraId="40616304" w14:textId="06A09A06" w:rsidR="00104D12" w:rsidRDefault="00104D12" w:rsidP="001A66FC">
            <w:r>
              <w:t>Seconded by D. Clark</w:t>
            </w:r>
          </w:p>
          <w:p w14:paraId="02F2C34E" w14:textId="77777777" w:rsidR="001A66FC" w:rsidRDefault="001A66FC" w:rsidP="001A66FC"/>
        </w:tc>
      </w:tr>
    </w:tbl>
    <w:p w14:paraId="680A4E5D" w14:textId="77777777" w:rsidR="009017F3" w:rsidRPr="009017F3" w:rsidRDefault="009017F3" w:rsidP="009017F3"/>
    <w:sectPr w:rsidR="009017F3" w:rsidRPr="009017F3">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D36837" w14:textId="77777777" w:rsidR="007F7702" w:rsidRDefault="007F7702" w:rsidP="000F6CD0">
      <w:pPr>
        <w:spacing w:after="0" w:line="240" w:lineRule="auto"/>
      </w:pPr>
      <w:r>
        <w:separator/>
      </w:r>
    </w:p>
  </w:endnote>
  <w:endnote w:type="continuationSeparator" w:id="0">
    <w:p w14:paraId="236C7659" w14:textId="77777777" w:rsidR="007F7702" w:rsidRDefault="007F7702" w:rsidP="000F6C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serif">
    <w:altName w:val="Times New Roman"/>
    <w:charset w:val="00"/>
    <w:family w:val="roman"/>
    <w:pitch w:val="variable"/>
    <w:sig w:usb0="00000000"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2E465B" w14:textId="77777777" w:rsidR="007F7702" w:rsidRDefault="007F7702" w:rsidP="000F6CD0">
      <w:pPr>
        <w:spacing w:after="0" w:line="240" w:lineRule="auto"/>
      </w:pPr>
      <w:r>
        <w:separator/>
      </w:r>
    </w:p>
  </w:footnote>
  <w:footnote w:type="continuationSeparator" w:id="0">
    <w:p w14:paraId="1655B2EB" w14:textId="77777777" w:rsidR="007F7702" w:rsidRDefault="007F7702" w:rsidP="000F6C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12F1F" w14:textId="77777777" w:rsidR="008F7618" w:rsidRDefault="008F7618">
    <w:pPr>
      <w:pStyle w:val="Header"/>
    </w:pPr>
    <w:r>
      <w:t xml:space="preserve">                                                                                                                                                                   unapproved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741CD"/>
    <w:multiLevelType w:val="hybridMultilevel"/>
    <w:tmpl w:val="6D20E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D1C61"/>
    <w:multiLevelType w:val="hybridMultilevel"/>
    <w:tmpl w:val="C682F038"/>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0E4672"/>
    <w:multiLevelType w:val="hybridMultilevel"/>
    <w:tmpl w:val="DF58BA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7F5E96"/>
    <w:multiLevelType w:val="hybridMultilevel"/>
    <w:tmpl w:val="7F6A7996"/>
    <w:lvl w:ilvl="0" w:tplc="384E867A">
      <w:start w:val="1"/>
      <w:numFmt w:val="decimal"/>
      <w:lvlText w:val="%1)"/>
      <w:lvlJc w:val="left"/>
      <w:pPr>
        <w:ind w:left="720" w:hanging="360"/>
      </w:pPr>
      <w:rPr>
        <w:rFonts w:ascii="Times New Roman ,serif" w:hAnsi="Times New Roman ,serif" w:cs="Times New Roman ,serif"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7A0243"/>
    <w:multiLevelType w:val="hybridMultilevel"/>
    <w:tmpl w:val="BD5282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F86B0F"/>
    <w:multiLevelType w:val="hybridMultilevel"/>
    <w:tmpl w:val="856E3996"/>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A04231"/>
    <w:multiLevelType w:val="hybridMultilevel"/>
    <w:tmpl w:val="76AC44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081720"/>
    <w:multiLevelType w:val="hybridMultilevel"/>
    <w:tmpl w:val="C682F038"/>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6"/>
  </w:num>
  <w:num w:numId="6">
    <w:abstractNumId w:val="3"/>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7F3"/>
    <w:rsid w:val="00000F82"/>
    <w:rsid w:val="0001165E"/>
    <w:rsid w:val="00012380"/>
    <w:rsid w:val="00017E93"/>
    <w:rsid w:val="00022204"/>
    <w:rsid w:val="000561E0"/>
    <w:rsid w:val="000856DA"/>
    <w:rsid w:val="000A4AA6"/>
    <w:rsid w:val="000A66E9"/>
    <w:rsid w:val="000C0034"/>
    <w:rsid w:val="000D27D6"/>
    <w:rsid w:val="000F6CD0"/>
    <w:rsid w:val="00104D12"/>
    <w:rsid w:val="00151968"/>
    <w:rsid w:val="00160535"/>
    <w:rsid w:val="00166088"/>
    <w:rsid w:val="001973F4"/>
    <w:rsid w:val="001A66FC"/>
    <w:rsid w:val="001A76EB"/>
    <w:rsid w:val="001C1858"/>
    <w:rsid w:val="001C3488"/>
    <w:rsid w:val="001C4F2F"/>
    <w:rsid w:val="001D7500"/>
    <w:rsid w:val="0022031A"/>
    <w:rsid w:val="00253FCC"/>
    <w:rsid w:val="00276177"/>
    <w:rsid w:val="002A7A4A"/>
    <w:rsid w:val="002B411B"/>
    <w:rsid w:val="002B5CA4"/>
    <w:rsid w:val="002D0103"/>
    <w:rsid w:val="002E6364"/>
    <w:rsid w:val="003012FE"/>
    <w:rsid w:val="00351490"/>
    <w:rsid w:val="00364EBA"/>
    <w:rsid w:val="003812D1"/>
    <w:rsid w:val="0038538E"/>
    <w:rsid w:val="003E11FD"/>
    <w:rsid w:val="003E41C6"/>
    <w:rsid w:val="004014F1"/>
    <w:rsid w:val="00407B02"/>
    <w:rsid w:val="00455410"/>
    <w:rsid w:val="004D4025"/>
    <w:rsid w:val="004F0223"/>
    <w:rsid w:val="004F309C"/>
    <w:rsid w:val="0050097A"/>
    <w:rsid w:val="005169A8"/>
    <w:rsid w:val="0053490F"/>
    <w:rsid w:val="0057452D"/>
    <w:rsid w:val="00584894"/>
    <w:rsid w:val="005F79B1"/>
    <w:rsid w:val="00645174"/>
    <w:rsid w:val="006576C1"/>
    <w:rsid w:val="006A4890"/>
    <w:rsid w:val="006C2B79"/>
    <w:rsid w:val="006F44F9"/>
    <w:rsid w:val="0071310B"/>
    <w:rsid w:val="00747BEE"/>
    <w:rsid w:val="007F7702"/>
    <w:rsid w:val="008500C3"/>
    <w:rsid w:val="00897AA3"/>
    <w:rsid w:val="008C36E6"/>
    <w:rsid w:val="008F7618"/>
    <w:rsid w:val="009017F3"/>
    <w:rsid w:val="00927325"/>
    <w:rsid w:val="0093383D"/>
    <w:rsid w:val="00936ACA"/>
    <w:rsid w:val="00943907"/>
    <w:rsid w:val="00963EA6"/>
    <w:rsid w:val="009673A6"/>
    <w:rsid w:val="00967E2D"/>
    <w:rsid w:val="00995780"/>
    <w:rsid w:val="009A37AE"/>
    <w:rsid w:val="009C0400"/>
    <w:rsid w:val="009D303D"/>
    <w:rsid w:val="00A162A6"/>
    <w:rsid w:val="00A80FC4"/>
    <w:rsid w:val="00A830E0"/>
    <w:rsid w:val="00A9516D"/>
    <w:rsid w:val="00AC76C2"/>
    <w:rsid w:val="00AE635A"/>
    <w:rsid w:val="00B121CE"/>
    <w:rsid w:val="00B455ED"/>
    <w:rsid w:val="00BD5D5B"/>
    <w:rsid w:val="00C15BAA"/>
    <w:rsid w:val="00C166F7"/>
    <w:rsid w:val="00CA1C82"/>
    <w:rsid w:val="00CD2D2D"/>
    <w:rsid w:val="00CE152A"/>
    <w:rsid w:val="00CE4364"/>
    <w:rsid w:val="00D17D86"/>
    <w:rsid w:val="00D31153"/>
    <w:rsid w:val="00D34E94"/>
    <w:rsid w:val="00D46A5E"/>
    <w:rsid w:val="00D520F6"/>
    <w:rsid w:val="00D6367E"/>
    <w:rsid w:val="00D87610"/>
    <w:rsid w:val="00DC141D"/>
    <w:rsid w:val="00E17628"/>
    <w:rsid w:val="00E22D61"/>
    <w:rsid w:val="00E24EE6"/>
    <w:rsid w:val="00E57DA4"/>
    <w:rsid w:val="00E70ECD"/>
    <w:rsid w:val="00E95AC2"/>
    <w:rsid w:val="00E968C2"/>
    <w:rsid w:val="00EC4256"/>
    <w:rsid w:val="00F029A6"/>
    <w:rsid w:val="00F21AA0"/>
    <w:rsid w:val="00F47433"/>
    <w:rsid w:val="00F47550"/>
    <w:rsid w:val="00FA07FF"/>
    <w:rsid w:val="00FA454B"/>
    <w:rsid w:val="00FB4F82"/>
    <w:rsid w:val="00FC467E"/>
    <w:rsid w:val="00FF454E"/>
    <w:rsid w:val="081EA8A9"/>
    <w:rsid w:val="1A074E58"/>
    <w:rsid w:val="1C078F83"/>
    <w:rsid w:val="55199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160D6"/>
  <w15:chartTrackingRefBased/>
  <w15:docId w15:val="{7578E65F-3699-4697-81F3-C0BF4A837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17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017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17F3"/>
    <w:pPr>
      <w:ind w:left="720"/>
      <w:contextualSpacing/>
    </w:pPr>
  </w:style>
  <w:style w:type="paragraph" w:styleId="Header">
    <w:name w:val="header"/>
    <w:basedOn w:val="Normal"/>
    <w:link w:val="HeaderChar"/>
    <w:uiPriority w:val="99"/>
    <w:unhideWhenUsed/>
    <w:rsid w:val="000F6C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6CD0"/>
  </w:style>
  <w:style w:type="paragraph" w:styleId="Footer">
    <w:name w:val="footer"/>
    <w:basedOn w:val="Normal"/>
    <w:link w:val="FooterChar"/>
    <w:uiPriority w:val="99"/>
    <w:unhideWhenUsed/>
    <w:rsid w:val="000F6C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6C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530109">
      <w:bodyDiv w:val="1"/>
      <w:marLeft w:val="0"/>
      <w:marRight w:val="0"/>
      <w:marTop w:val="0"/>
      <w:marBottom w:val="0"/>
      <w:divBdr>
        <w:top w:val="none" w:sz="0" w:space="0" w:color="auto"/>
        <w:left w:val="none" w:sz="0" w:space="0" w:color="auto"/>
        <w:bottom w:val="none" w:sz="0" w:space="0" w:color="auto"/>
        <w:right w:val="none" w:sz="0" w:space="0" w:color="auto"/>
      </w:divBdr>
    </w:div>
    <w:div w:id="376005710">
      <w:bodyDiv w:val="1"/>
      <w:marLeft w:val="0"/>
      <w:marRight w:val="0"/>
      <w:marTop w:val="0"/>
      <w:marBottom w:val="0"/>
      <w:divBdr>
        <w:top w:val="none" w:sz="0" w:space="0" w:color="auto"/>
        <w:left w:val="none" w:sz="0" w:space="0" w:color="auto"/>
        <w:bottom w:val="none" w:sz="0" w:space="0" w:color="auto"/>
        <w:right w:val="none" w:sz="0" w:space="0" w:color="auto"/>
      </w:divBdr>
    </w:div>
    <w:div w:id="584151169">
      <w:bodyDiv w:val="1"/>
      <w:marLeft w:val="0"/>
      <w:marRight w:val="0"/>
      <w:marTop w:val="0"/>
      <w:marBottom w:val="0"/>
      <w:divBdr>
        <w:top w:val="none" w:sz="0" w:space="0" w:color="auto"/>
        <w:left w:val="none" w:sz="0" w:space="0" w:color="auto"/>
        <w:bottom w:val="none" w:sz="0" w:space="0" w:color="auto"/>
        <w:right w:val="none" w:sz="0" w:space="0" w:color="auto"/>
      </w:divBdr>
    </w:div>
    <w:div w:id="719790217">
      <w:bodyDiv w:val="1"/>
      <w:marLeft w:val="0"/>
      <w:marRight w:val="0"/>
      <w:marTop w:val="0"/>
      <w:marBottom w:val="0"/>
      <w:divBdr>
        <w:top w:val="none" w:sz="0" w:space="0" w:color="auto"/>
        <w:left w:val="none" w:sz="0" w:space="0" w:color="auto"/>
        <w:bottom w:val="none" w:sz="0" w:space="0" w:color="auto"/>
        <w:right w:val="none" w:sz="0" w:space="0" w:color="auto"/>
      </w:divBdr>
    </w:div>
    <w:div w:id="1049763460">
      <w:bodyDiv w:val="1"/>
      <w:marLeft w:val="0"/>
      <w:marRight w:val="0"/>
      <w:marTop w:val="0"/>
      <w:marBottom w:val="0"/>
      <w:divBdr>
        <w:top w:val="none" w:sz="0" w:space="0" w:color="auto"/>
        <w:left w:val="none" w:sz="0" w:space="0" w:color="auto"/>
        <w:bottom w:val="none" w:sz="0" w:space="0" w:color="auto"/>
        <w:right w:val="none" w:sz="0" w:space="0" w:color="auto"/>
      </w:divBdr>
    </w:div>
    <w:div w:id="1339700988">
      <w:bodyDiv w:val="1"/>
      <w:marLeft w:val="0"/>
      <w:marRight w:val="0"/>
      <w:marTop w:val="0"/>
      <w:marBottom w:val="0"/>
      <w:divBdr>
        <w:top w:val="none" w:sz="0" w:space="0" w:color="auto"/>
        <w:left w:val="none" w:sz="0" w:space="0" w:color="auto"/>
        <w:bottom w:val="none" w:sz="0" w:space="0" w:color="auto"/>
        <w:right w:val="none" w:sz="0" w:space="0" w:color="auto"/>
      </w:divBdr>
    </w:div>
    <w:div w:id="1385328547">
      <w:bodyDiv w:val="1"/>
      <w:marLeft w:val="0"/>
      <w:marRight w:val="0"/>
      <w:marTop w:val="0"/>
      <w:marBottom w:val="0"/>
      <w:divBdr>
        <w:top w:val="none" w:sz="0" w:space="0" w:color="auto"/>
        <w:left w:val="none" w:sz="0" w:space="0" w:color="auto"/>
        <w:bottom w:val="none" w:sz="0" w:space="0" w:color="auto"/>
        <w:right w:val="none" w:sz="0" w:space="0" w:color="auto"/>
      </w:divBdr>
    </w:div>
    <w:div w:id="1817068568">
      <w:bodyDiv w:val="1"/>
      <w:marLeft w:val="0"/>
      <w:marRight w:val="0"/>
      <w:marTop w:val="0"/>
      <w:marBottom w:val="0"/>
      <w:divBdr>
        <w:top w:val="none" w:sz="0" w:space="0" w:color="auto"/>
        <w:left w:val="none" w:sz="0" w:space="0" w:color="auto"/>
        <w:bottom w:val="none" w:sz="0" w:space="0" w:color="auto"/>
        <w:right w:val="none" w:sz="0" w:space="0" w:color="auto"/>
      </w:divBdr>
    </w:div>
    <w:div w:id="1825395777">
      <w:bodyDiv w:val="1"/>
      <w:marLeft w:val="0"/>
      <w:marRight w:val="0"/>
      <w:marTop w:val="0"/>
      <w:marBottom w:val="0"/>
      <w:divBdr>
        <w:top w:val="none" w:sz="0" w:space="0" w:color="auto"/>
        <w:left w:val="none" w:sz="0" w:space="0" w:color="auto"/>
        <w:bottom w:val="none" w:sz="0" w:space="0" w:color="auto"/>
        <w:right w:val="none" w:sz="0" w:space="0" w:color="auto"/>
      </w:divBdr>
    </w:div>
    <w:div w:id="2013558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B81DDD6714934EA431F3E7FFBD01B6" ma:contentTypeVersion="4" ma:contentTypeDescription="Create a new document." ma:contentTypeScope="" ma:versionID="0457ec0d136cfedcb7f19e216f57bc53">
  <xsd:schema xmlns:xsd="http://www.w3.org/2001/XMLSchema" xmlns:xs="http://www.w3.org/2001/XMLSchema" xmlns:p="http://schemas.microsoft.com/office/2006/metadata/properties" xmlns:ns3="baf45800-202a-4d04-9eb1-dcead2d857c9" targetNamespace="http://schemas.microsoft.com/office/2006/metadata/properties" ma:root="true" ma:fieldsID="64d632f0045b81c61aed4b9689b767c0" ns3:_="">
    <xsd:import namespace="baf45800-202a-4d04-9eb1-dcead2d857c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f45800-202a-4d04-9eb1-dcead2d857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06C8A3-54AC-4B17-8964-3001549378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f45800-202a-4d04-9eb1-dcead2d857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F5D596-349D-4725-97C3-9FD5625A4B32}">
  <ds:schemaRefs>
    <ds:schemaRef ds:uri="http://schemas.microsoft.com/sharepoint/v3/contenttype/forms"/>
  </ds:schemaRefs>
</ds:datastoreItem>
</file>

<file path=customXml/itemProps3.xml><?xml version="1.0" encoding="utf-8"?>
<ds:datastoreItem xmlns:ds="http://schemas.openxmlformats.org/officeDocument/2006/customXml" ds:itemID="{70C19F26-A349-4BCD-83B7-C2C7DA7EA50A}">
  <ds:schemaRefs>
    <ds:schemaRef ds:uri="http://purl.org/dc/terms/"/>
    <ds:schemaRef ds:uri="http://schemas.microsoft.com/office/2006/documentManagement/types"/>
    <ds:schemaRef ds:uri="http://purl.org/dc/elements/1.1/"/>
    <ds:schemaRef ds:uri="http://schemas.microsoft.com/office/2006/metadata/properties"/>
    <ds:schemaRef ds:uri="http://schemas.microsoft.com/office/infopath/2007/PartnerControls"/>
    <ds:schemaRef ds:uri="baf45800-202a-4d04-9eb1-dcead2d857c9"/>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730</Words>
  <Characters>4162</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4883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Potts</dc:creator>
  <cp:keywords/>
  <dc:description/>
  <cp:lastModifiedBy>Joie Harney</cp:lastModifiedBy>
  <cp:revision>2</cp:revision>
  <dcterms:created xsi:type="dcterms:W3CDTF">2019-09-27T19:42:00Z</dcterms:created>
  <dcterms:modified xsi:type="dcterms:W3CDTF">2019-09-27T19:42:00Z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0x010100D8B81DDD6714934EA431F3E7FFBD01B6</vt:lpwstr>
  </property>
</Properties>
</file>