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04A38A91" w:rsidR="00351490" w:rsidRDefault="081EA8A9" w:rsidP="081EA8A9">
      <w:pPr>
        <w:spacing w:after="0" w:line="240" w:lineRule="auto"/>
        <w:jc w:val="center"/>
        <w:rPr>
          <w:rFonts w:eastAsia="Times New Roman"/>
          <w:b/>
          <w:bCs/>
          <w:sz w:val="28"/>
          <w:szCs w:val="28"/>
        </w:rPr>
      </w:pPr>
      <w:r w:rsidRPr="081EA8A9">
        <w:rPr>
          <w:b/>
          <w:bCs/>
        </w:rPr>
        <w:t xml:space="preserve">Meeting # </w:t>
      </w:r>
      <w:r w:rsidR="00E145F2">
        <w:rPr>
          <w:b/>
          <w:bCs/>
        </w:rPr>
        <w:t>3</w:t>
      </w:r>
    </w:p>
    <w:p w14:paraId="6B551E9D" w14:textId="43E8DEDC" w:rsidR="00351490" w:rsidRPr="007B4915" w:rsidRDefault="00E145F2" w:rsidP="081EA8A9">
      <w:pPr>
        <w:spacing w:after="0" w:line="240" w:lineRule="auto"/>
        <w:jc w:val="center"/>
        <w:rPr>
          <w:b/>
          <w:bCs/>
        </w:rPr>
      </w:pPr>
      <w:r>
        <w:rPr>
          <w:b/>
          <w:bCs/>
        </w:rPr>
        <w:t>September 24</w:t>
      </w:r>
      <w:r w:rsidR="081EA8A9" w:rsidRPr="081EA8A9">
        <w:rPr>
          <w:b/>
          <w:bCs/>
        </w:rPr>
        <w:t>, 2019</w:t>
      </w:r>
    </w:p>
    <w:p w14:paraId="047C8F08" w14:textId="77777777" w:rsidR="00351490" w:rsidRPr="007B4915" w:rsidRDefault="00351490" w:rsidP="00351490">
      <w:pPr>
        <w:spacing w:after="0" w:line="240" w:lineRule="auto"/>
        <w:jc w:val="center"/>
        <w:rPr>
          <w:b/>
        </w:rPr>
      </w:pPr>
      <w:r w:rsidRPr="007B4915">
        <w:rPr>
          <w:b/>
        </w:rPr>
        <w:t>Stalker Hall, Room 211</w:t>
      </w:r>
    </w:p>
    <w:p w14:paraId="38B4F77C" w14:textId="071C906E" w:rsidR="009D303D" w:rsidRPr="00276177" w:rsidRDefault="00351490" w:rsidP="00276177">
      <w:pPr>
        <w:rPr>
          <w:rFonts w:ascii="Times New Roman" w:eastAsia="Times New Roman" w:hAnsi="Times New Roman" w:cs="Times New Roman"/>
          <w:sz w:val="24"/>
          <w:szCs w:val="24"/>
        </w:rPr>
      </w:pPr>
      <w:r w:rsidRPr="009C1048">
        <w:rPr>
          <w:b/>
        </w:rPr>
        <w:t>CAAC Members Present</w:t>
      </w:r>
      <w:r>
        <w:t xml:space="preserve">: </w:t>
      </w:r>
      <w:r w:rsidR="009C0400" w:rsidRPr="009C0400">
        <w:t xml:space="preserve">Renee Bauer, Dan Clark, Margaret Hill, Jeff Kinne, Winnie Ko, Andrew Payne, Blake </w:t>
      </w:r>
      <w:proofErr w:type="spellStart"/>
      <w:r w:rsidR="009C0400" w:rsidRPr="009C0400">
        <w:t>Rayfield</w:t>
      </w:r>
      <w:proofErr w:type="spellEnd"/>
      <w:r w:rsidR="009C0400" w:rsidRPr="009C0400">
        <w:t>, Brian Schaefer, Edith Wittenmyer</w:t>
      </w:r>
      <w:r w:rsidR="00276177">
        <w:rPr>
          <w:rFonts w:ascii="Times New Roman" w:eastAsia="Times New Roman" w:hAnsi="Times New Roman" w:cs="Times New Roman"/>
          <w:sz w:val="24"/>
          <w:szCs w:val="24"/>
        </w:rPr>
        <w:br/>
      </w:r>
      <w:r w:rsidRPr="009C1048">
        <w:rPr>
          <w:b/>
        </w:rPr>
        <w:t>Absent:</w:t>
      </w:r>
      <w:r w:rsidR="005F79B1">
        <w:t xml:space="preserve"> </w:t>
      </w:r>
      <w:r w:rsidR="00276177">
        <w:t>-</w:t>
      </w:r>
      <w:r w:rsidR="00276177">
        <w:rPr>
          <w:rFonts w:ascii="Times New Roman" w:eastAsia="Times New Roman" w:hAnsi="Times New Roman" w:cs="Times New Roman"/>
          <w:sz w:val="24"/>
          <w:szCs w:val="24"/>
        </w:rPr>
        <w:br/>
      </w:r>
      <w:r>
        <w:rPr>
          <w:b/>
        </w:rPr>
        <w:t>Guest</w:t>
      </w:r>
      <w:r w:rsidR="005F79B1">
        <w:t xml:space="preserve">: </w:t>
      </w:r>
      <w:r w:rsidR="00276177">
        <w:t>-</w:t>
      </w:r>
      <w:r w:rsidR="00E145F2">
        <w:t xml:space="preserve"> Liz Brown</w:t>
      </w:r>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presen</w:t>
      </w:r>
      <w:r w:rsidR="00E145F2">
        <w:t xml:space="preserve">t – Whitney </w:t>
      </w:r>
      <w:proofErr w:type="spellStart"/>
      <w:r w:rsidR="00E145F2">
        <w:t>Nesser</w:t>
      </w:r>
      <w:proofErr w:type="spellEnd"/>
      <w:r w:rsidR="00E145F2">
        <w:t>, Angie Smith, Susan Powers, Bassam Yousif.  Absent but kept</w:t>
      </w:r>
      <w:r w:rsidR="0057452D">
        <w:t xml:space="preserve"> on the weekly invitation – Linda Maule, </w:t>
      </w:r>
      <w:r w:rsidR="009C0400">
        <w:t xml:space="preserve">Jim Smallwood, Linda Sperry, </w:t>
      </w:r>
      <w:r w:rsidR="009C0400" w:rsidRPr="00BA42E1">
        <w:t>Kelly Wilkinson</w:t>
      </w:r>
      <w:r w:rsidR="00E145F2">
        <w:t>.</w:t>
      </w:r>
    </w:p>
    <w:tbl>
      <w:tblPr>
        <w:tblStyle w:val="TableGrid"/>
        <w:tblW w:w="9805" w:type="dxa"/>
        <w:tblLook w:val="04A0" w:firstRow="1" w:lastRow="0" w:firstColumn="1" w:lastColumn="0" w:noHBand="0" w:noVBand="1"/>
      </w:tblPr>
      <w:tblGrid>
        <w:gridCol w:w="2288"/>
        <w:gridCol w:w="4989"/>
        <w:gridCol w:w="2528"/>
      </w:tblGrid>
      <w:tr w:rsidR="009017F3" w14:paraId="56530705" w14:textId="77777777" w:rsidTr="001C4F2F">
        <w:tc>
          <w:tcPr>
            <w:tcW w:w="2297"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5798"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1710"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1C4F2F">
        <w:tc>
          <w:tcPr>
            <w:tcW w:w="2297"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5798" w:type="dxa"/>
          </w:tcPr>
          <w:p w14:paraId="672A6659" w14:textId="4DB5E41E" w:rsidR="005F79B1" w:rsidRDefault="00E145F2" w:rsidP="008F7618">
            <w:r>
              <w:t>Winnie Ko</w:t>
            </w:r>
            <w:r w:rsidR="009017F3">
              <w:t xml:space="preserve"> </w:t>
            </w:r>
            <w:r w:rsidR="005F79B1">
              <w:t>called meeting to order at</w:t>
            </w:r>
            <w:r w:rsidR="00012380">
              <w:t xml:space="preserve"> </w:t>
            </w:r>
            <w:r w:rsidR="005F79B1">
              <w:t xml:space="preserve"> </w:t>
            </w:r>
            <w:r w:rsidR="00DC141D">
              <w:t>12:</w:t>
            </w:r>
            <w:r w:rsidR="009673A6">
              <w:t>30</w:t>
            </w:r>
          </w:p>
        </w:tc>
        <w:tc>
          <w:tcPr>
            <w:tcW w:w="1710" w:type="dxa"/>
          </w:tcPr>
          <w:p w14:paraId="0A37501D" w14:textId="77777777" w:rsidR="009017F3" w:rsidRDefault="009017F3" w:rsidP="008F7618"/>
        </w:tc>
      </w:tr>
      <w:tr w:rsidR="000F6CD0" w14:paraId="5DAB6C7B" w14:textId="77777777" w:rsidTr="001C4F2F">
        <w:tc>
          <w:tcPr>
            <w:tcW w:w="2297"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5798" w:type="dxa"/>
            <w:shd w:val="clear" w:color="auto" w:fill="BDD6EE" w:themeFill="accent1" w:themeFillTint="66"/>
          </w:tcPr>
          <w:p w14:paraId="6A05A809" w14:textId="77777777" w:rsidR="000F6CD0" w:rsidRDefault="000F6CD0" w:rsidP="008F7618"/>
        </w:tc>
        <w:tc>
          <w:tcPr>
            <w:tcW w:w="1710" w:type="dxa"/>
            <w:shd w:val="clear" w:color="auto" w:fill="BDD6EE" w:themeFill="accent1" w:themeFillTint="66"/>
          </w:tcPr>
          <w:p w14:paraId="5A39BBE3" w14:textId="77777777" w:rsidR="000F6CD0" w:rsidRDefault="000F6CD0" w:rsidP="008F7618"/>
        </w:tc>
      </w:tr>
      <w:tr w:rsidR="009017F3" w14:paraId="12B55489" w14:textId="77777777" w:rsidTr="001C4F2F">
        <w:tc>
          <w:tcPr>
            <w:tcW w:w="2297" w:type="dxa"/>
          </w:tcPr>
          <w:p w14:paraId="15EB67AA" w14:textId="77777777" w:rsidR="009017F3" w:rsidRPr="00FA454B" w:rsidRDefault="009017F3" w:rsidP="00FA454B">
            <w:pPr>
              <w:pStyle w:val="ListParagraph"/>
              <w:numPr>
                <w:ilvl w:val="0"/>
                <w:numId w:val="3"/>
              </w:numPr>
              <w:rPr>
                <w:b/>
                <w:sz w:val="24"/>
                <w:szCs w:val="24"/>
              </w:rPr>
            </w:pPr>
            <w:r w:rsidRPr="00FA454B">
              <w:rPr>
                <w:b/>
                <w:sz w:val="24"/>
                <w:szCs w:val="24"/>
              </w:rPr>
              <w:t>Approval of Minutes</w:t>
            </w:r>
          </w:p>
        </w:tc>
        <w:tc>
          <w:tcPr>
            <w:tcW w:w="5798" w:type="dxa"/>
          </w:tcPr>
          <w:p w14:paraId="75EF678D" w14:textId="71CEBACB" w:rsidR="00D87610" w:rsidRDefault="00E145F2" w:rsidP="008F7618">
            <w:r>
              <w:t xml:space="preserve">Whitney </w:t>
            </w:r>
            <w:proofErr w:type="spellStart"/>
            <w:r>
              <w:t>Nesser</w:t>
            </w:r>
            <w:proofErr w:type="spellEnd"/>
            <w:r>
              <w:t xml:space="preserve"> noted that she was incorrectly listed as absent.  This will be corrected</w:t>
            </w:r>
          </w:p>
        </w:tc>
        <w:tc>
          <w:tcPr>
            <w:tcW w:w="1710" w:type="dxa"/>
          </w:tcPr>
          <w:p w14:paraId="6E5F1C74" w14:textId="77777777" w:rsidR="00351490" w:rsidRDefault="00E145F2" w:rsidP="00D31153">
            <w:r>
              <w:t>Motion by R. Bauer to approve minutes.</w:t>
            </w:r>
          </w:p>
          <w:p w14:paraId="19851D16" w14:textId="77777777" w:rsidR="00E145F2" w:rsidRDefault="00E145F2" w:rsidP="00D31153">
            <w:r>
              <w:t>Second by E. Wittenmyer.</w:t>
            </w:r>
          </w:p>
          <w:p w14:paraId="1C41E98C" w14:textId="34E68E5A" w:rsidR="00E145F2" w:rsidRDefault="00E145F2" w:rsidP="00D31153">
            <w:r>
              <w:t>(8-0-2)</w:t>
            </w:r>
          </w:p>
        </w:tc>
      </w:tr>
      <w:tr w:rsidR="009017F3" w14:paraId="41C8F396" w14:textId="77777777" w:rsidTr="001C4F2F">
        <w:tc>
          <w:tcPr>
            <w:tcW w:w="2297" w:type="dxa"/>
            <w:shd w:val="clear" w:color="auto" w:fill="BDD6EE" w:themeFill="accent1" w:themeFillTint="66"/>
          </w:tcPr>
          <w:p w14:paraId="72A3D3EC" w14:textId="77777777" w:rsidR="009017F3" w:rsidRPr="00877C3F" w:rsidRDefault="009017F3" w:rsidP="008F7618">
            <w:pPr>
              <w:rPr>
                <w:b/>
                <w:sz w:val="24"/>
                <w:szCs w:val="24"/>
              </w:rPr>
            </w:pPr>
          </w:p>
        </w:tc>
        <w:tc>
          <w:tcPr>
            <w:tcW w:w="5798" w:type="dxa"/>
            <w:shd w:val="clear" w:color="auto" w:fill="BDD6EE" w:themeFill="accent1" w:themeFillTint="66"/>
          </w:tcPr>
          <w:p w14:paraId="0D0B940D" w14:textId="77777777" w:rsidR="009017F3" w:rsidRDefault="009017F3" w:rsidP="008F7618"/>
        </w:tc>
        <w:tc>
          <w:tcPr>
            <w:tcW w:w="1710" w:type="dxa"/>
            <w:shd w:val="clear" w:color="auto" w:fill="BDD6EE" w:themeFill="accent1" w:themeFillTint="66"/>
          </w:tcPr>
          <w:p w14:paraId="0E27B00A" w14:textId="77777777" w:rsidR="009017F3" w:rsidRDefault="009017F3" w:rsidP="008F7618"/>
        </w:tc>
      </w:tr>
      <w:tr w:rsidR="009017F3" w14:paraId="6AA5EDA5" w14:textId="77777777" w:rsidTr="001C4F2F">
        <w:tc>
          <w:tcPr>
            <w:tcW w:w="2297" w:type="dxa"/>
          </w:tcPr>
          <w:p w14:paraId="2330285E" w14:textId="3C50C9E7" w:rsidR="009017F3" w:rsidRPr="00995780" w:rsidRDefault="00E145F2" w:rsidP="00995780">
            <w:pPr>
              <w:pStyle w:val="ListParagraph"/>
              <w:numPr>
                <w:ilvl w:val="0"/>
                <w:numId w:val="3"/>
              </w:numPr>
              <w:rPr>
                <w:b/>
                <w:bCs/>
              </w:rPr>
            </w:pPr>
            <w:r>
              <w:rPr>
                <w:b/>
              </w:rPr>
              <w:t>Review of MATH 241</w:t>
            </w:r>
          </w:p>
          <w:p w14:paraId="49CFEFCD" w14:textId="11921EDB" w:rsidR="009017F3" w:rsidRPr="008521ED" w:rsidRDefault="009017F3" w:rsidP="1C078F83">
            <w:pPr>
              <w:ind w:left="360"/>
            </w:pPr>
          </w:p>
        </w:tc>
        <w:tc>
          <w:tcPr>
            <w:tcW w:w="5798" w:type="dxa"/>
          </w:tcPr>
          <w:p w14:paraId="5EFC735D" w14:textId="77777777" w:rsidR="00F62D72" w:rsidRDefault="00F62D72" w:rsidP="00F62D72">
            <w:r>
              <w:t>Liz Brown representing the Department of Mathematics and Computer Science presented the arguments addressing changes to this course and its place in related programs.  It required an updated prerequisite in order to align with other departmental expectations (C or better in MATH 035).  And this course will now be required for Mathematics and Mathematics Education majors, necessitating the elimination of language in the course description.</w:t>
            </w:r>
          </w:p>
          <w:p w14:paraId="33FAABF3" w14:textId="77777777" w:rsidR="00F62D72" w:rsidRDefault="00F62D72" w:rsidP="00F62D72"/>
          <w:p w14:paraId="5EB7D82A" w14:textId="77777777" w:rsidR="00F62D72" w:rsidRDefault="00F62D72" w:rsidP="00F62D72">
            <w:r>
              <w:t>R. Bauer inquired why it had not previously been required.</w:t>
            </w:r>
          </w:p>
          <w:p w14:paraId="0933FB2E" w14:textId="77777777" w:rsidR="00F62D72" w:rsidRDefault="00F62D72" w:rsidP="00F62D72"/>
          <w:p w14:paraId="65AF3473" w14:textId="77777777" w:rsidR="00F62D72" w:rsidRDefault="00F62D72" w:rsidP="00F62D72">
            <w:r>
              <w:t>Liz Brown offered that it was a change in departmental culture.</w:t>
            </w:r>
          </w:p>
          <w:p w14:paraId="698E23C6" w14:textId="77777777" w:rsidR="00F62D72" w:rsidRDefault="00F62D72" w:rsidP="00F62D72"/>
          <w:p w14:paraId="60061E4C" w14:textId="6449BB6B" w:rsidR="00F62D72" w:rsidRPr="007B4915" w:rsidRDefault="00F62D72" w:rsidP="00F62D72">
            <w:r>
              <w:t>J. Kinne further clarified that some departments nationally require it and some do not.</w:t>
            </w:r>
          </w:p>
        </w:tc>
        <w:tc>
          <w:tcPr>
            <w:tcW w:w="1710" w:type="dxa"/>
          </w:tcPr>
          <w:p w14:paraId="6A55266D" w14:textId="44AA6276" w:rsidR="009017F3" w:rsidRDefault="00C72715" w:rsidP="00967E2D">
            <w:r>
              <w:t>(after later suspension of rules to allow a vote) Motion to approve by B. Schaefer.</w:t>
            </w:r>
          </w:p>
          <w:p w14:paraId="490F49F6" w14:textId="77777777" w:rsidR="00C72715" w:rsidRDefault="00C72715" w:rsidP="00967E2D">
            <w:r>
              <w:t>Seconded by A. Payne.</w:t>
            </w:r>
          </w:p>
          <w:p w14:paraId="44EAFD9C" w14:textId="362134E0" w:rsidR="00C72715" w:rsidRDefault="00C72715" w:rsidP="00967E2D">
            <w:r>
              <w:t>(10-0)</w:t>
            </w:r>
          </w:p>
        </w:tc>
      </w:tr>
      <w:tr w:rsidR="005F79B1" w14:paraId="4B94D5A5" w14:textId="77777777" w:rsidTr="001C4F2F">
        <w:tc>
          <w:tcPr>
            <w:tcW w:w="2297" w:type="dxa"/>
            <w:shd w:val="clear" w:color="auto" w:fill="BDD6EE" w:themeFill="accent1" w:themeFillTint="66"/>
          </w:tcPr>
          <w:p w14:paraId="3DEEC669" w14:textId="77777777" w:rsidR="005F79B1" w:rsidRDefault="005F79B1" w:rsidP="008F7618">
            <w:pPr>
              <w:rPr>
                <w:rFonts w:ascii="Times New Roman" w:eastAsia="Times New Roman" w:hAnsi="Times New Roman" w:cs="Times New Roman"/>
                <w:color w:val="000000"/>
                <w:sz w:val="24"/>
                <w:szCs w:val="24"/>
              </w:rPr>
            </w:pPr>
          </w:p>
        </w:tc>
        <w:tc>
          <w:tcPr>
            <w:tcW w:w="5798" w:type="dxa"/>
            <w:shd w:val="clear" w:color="auto" w:fill="BDD6EE" w:themeFill="accent1" w:themeFillTint="66"/>
          </w:tcPr>
          <w:p w14:paraId="3656B9AB" w14:textId="77777777" w:rsidR="005F79B1" w:rsidRPr="00877C3F" w:rsidRDefault="005F79B1" w:rsidP="008F7618">
            <w:pPr>
              <w:rPr>
                <w:b/>
              </w:rPr>
            </w:pPr>
          </w:p>
        </w:tc>
        <w:tc>
          <w:tcPr>
            <w:tcW w:w="1710" w:type="dxa"/>
            <w:shd w:val="clear" w:color="auto" w:fill="BDD6EE" w:themeFill="accent1" w:themeFillTint="66"/>
          </w:tcPr>
          <w:p w14:paraId="45FB0818" w14:textId="77777777" w:rsidR="005F79B1" w:rsidRDefault="005F79B1" w:rsidP="008F7618"/>
        </w:tc>
      </w:tr>
      <w:tr w:rsidR="009017F3" w14:paraId="2D255667" w14:textId="77777777" w:rsidTr="001C4F2F">
        <w:tc>
          <w:tcPr>
            <w:tcW w:w="2297" w:type="dxa"/>
          </w:tcPr>
          <w:p w14:paraId="1299C43A" w14:textId="52F7C975" w:rsidR="009017F3" w:rsidRPr="009673A6" w:rsidRDefault="1A074E58" w:rsidP="008F7618">
            <w:pPr>
              <w:pStyle w:val="ListParagraph"/>
              <w:numPr>
                <w:ilvl w:val="0"/>
                <w:numId w:val="3"/>
              </w:numPr>
              <w:rPr>
                <w:b/>
                <w:bCs/>
                <w:color w:val="000000" w:themeColor="text1"/>
              </w:rPr>
            </w:pPr>
            <w:r w:rsidRPr="1A074E58">
              <w:rPr>
                <w:b/>
                <w:bCs/>
                <w:sz w:val="24"/>
                <w:szCs w:val="24"/>
              </w:rPr>
              <w:t>Review of</w:t>
            </w:r>
            <w:r w:rsidR="009673A6">
              <w:rPr>
                <w:b/>
                <w:bCs/>
                <w:sz w:val="24"/>
                <w:szCs w:val="24"/>
              </w:rPr>
              <w:t xml:space="preserve"> </w:t>
            </w:r>
            <w:r w:rsidR="00F62D72">
              <w:rPr>
                <w:b/>
                <w:bCs/>
                <w:sz w:val="24"/>
                <w:szCs w:val="24"/>
              </w:rPr>
              <w:t>Mathematics Minor</w:t>
            </w:r>
          </w:p>
          <w:p w14:paraId="4DDBEF00" w14:textId="78AB294F" w:rsidR="009017F3" w:rsidRPr="00637E20" w:rsidRDefault="009017F3" w:rsidP="008F7618"/>
        </w:tc>
        <w:tc>
          <w:tcPr>
            <w:tcW w:w="5798" w:type="dxa"/>
          </w:tcPr>
          <w:p w14:paraId="3461D779" w14:textId="7B24C5F2" w:rsidR="00022204" w:rsidRPr="00FA454B" w:rsidRDefault="00F62D72" w:rsidP="1A074E58">
            <w:pPr>
              <w:rPr>
                <w:rFonts w:ascii="Calibri" w:eastAsia="Calibri" w:hAnsi="Calibri" w:cs="Calibri"/>
                <w:sz w:val="24"/>
                <w:szCs w:val="24"/>
              </w:rPr>
            </w:pPr>
            <w:r>
              <w:t>Liz Brown representing the Department of Mathematics and Computer Science presented the arguments addressing changes to</w:t>
            </w:r>
            <w:r w:rsidR="00C72715">
              <w:t xml:space="preserve"> the Mathematics Minor.  Owing to the addition of a BA option in the </w:t>
            </w:r>
            <w:r w:rsidR="00C72715">
              <w:lastRenderedPageBreak/>
              <w:t>Mathematics major and other course alterations in the major, the department wanted to modify the minor as well, eliminating MATH 231 as a required course and listing possible electives.</w:t>
            </w:r>
          </w:p>
        </w:tc>
        <w:tc>
          <w:tcPr>
            <w:tcW w:w="1710" w:type="dxa"/>
          </w:tcPr>
          <w:p w14:paraId="5EF6B228" w14:textId="3DBDEB56" w:rsidR="00C72715" w:rsidRDefault="00C72715" w:rsidP="00C72715">
            <w:r>
              <w:lastRenderedPageBreak/>
              <w:t>(after later suspension of rules to allow a vote) Motion to approve by B. Schaefer.</w:t>
            </w:r>
          </w:p>
          <w:p w14:paraId="391D88F7" w14:textId="77777777" w:rsidR="00C72715" w:rsidRDefault="00C72715" w:rsidP="00C72715">
            <w:r>
              <w:lastRenderedPageBreak/>
              <w:t>Seconded by A. Payne.</w:t>
            </w:r>
          </w:p>
          <w:p w14:paraId="3CF2D8B6" w14:textId="3D1C3CCE" w:rsidR="009017F3" w:rsidRDefault="00C72715" w:rsidP="00C72715">
            <w:r>
              <w:t>(10-0)</w:t>
            </w:r>
          </w:p>
        </w:tc>
      </w:tr>
      <w:tr w:rsidR="006A4890" w14:paraId="26FCC3A4" w14:textId="77777777" w:rsidTr="001C4F2F">
        <w:tc>
          <w:tcPr>
            <w:tcW w:w="2297" w:type="dxa"/>
          </w:tcPr>
          <w:p w14:paraId="7639ACF8" w14:textId="6AFF3A23" w:rsidR="006A4890" w:rsidRPr="00C72715" w:rsidRDefault="006A4890" w:rsidP="00C72715">
            <w:pPr>
              <w:rPr>
                <w:b/>
                <w:bCs/>
                <w:sz w:val="24"/>
                <w:szCs w:val="24"/>
              </w:rPr>
            </w:pPr>
          </w:p>
        </w:tc>
        <w:tc>
          <w:tcPr>
            <w:tcW w:w="5798" w:type="dxa"/>
          </w:tcPr>
          <w:p w14:paraId="1DAD9909" w14:textId="524ACC00" w:rsidR="006A4890" w:rsidRPr="006A4890" w:rsidRDefault="006A4890" w:rsidP="1A074E58"/>
        </w:tc>
        <w:tc>
          <w:tcPr>
            <w:tcW w:w="1710" w:type="dxa"/>
          </w:tcPr>
          <w:p w14:paraId="27D4BA53" w14:textId="77777777" w:rsidR="006A4890" w:rsidRDefault="006A4890" w:rsidP="008F7618"/>
        </w:tc>
      </w:tr>
      <w:tr w:rsidR="006A4890" w14:paraId="6840E6BF" w14:textId="77777777" w:rsidTr="001C4F2F">
        <w:tc>
          <w:tcPr>
            <w:tcW w:w="2297" w:type="dxa"/>
          </w:tcPr>
          <w:p w14:paraId="5EBB7A54" w14:textId="2285F5FF" w:rsidR="006A4890" w:rsidRDefault="006A4890" w:rsidP="00C72715">
            <w:pPr>
              <w:pStyle w:val="ListParagraph"/>
              <w:rPr>
                <w:b/>
                <w:bCs/>
                <w:sz w:val="24"/>
                <w:szCs w:val="24"/>
              </w:rPr>
            </w:pPr>
          </w:p>
        </w:tc>
        <w:tc>
          <w:tcPr>
            <w:tcW w:w="5798" w:type="dxa"/>
          </w:tcPr>
          <w:p w14:paraId="5950CAF8" w14:textId="7EB698BA" w:rsidR="006A4890" w:rsidRDefault="006A4890" w:rsidP="006A4890"/>
        </w:tc>
        <w:tc>
          <w:tcPr>
            <w:tcW w:w="1710" w:type="dxa"/>
          </w:tcPr>
          <w:p w14:paraId="0B877FDD" w14:textId="77777777" w:rsidR="006A4890" w:rsidRDefault="006A4890" w:rsidP="008F7618"/>
        </w:tc>
      </w:tr>
      <w:tr w:rsidR="009673A6" w14:paraId="439A79B6" w14:textId="77777777" w:rsidTr="001C4F2F">
        <w:tc>
          <w:tcPr>
            <w:tcW w:w="2297" w:type="dxa"/>
            <w:shd w:val="clear" w:color="auto" w:fill="BDD6EE" w:themeFill="accent1" w:themeFillTint="66"/>
          </w:tcPr>
          <w:p w14:paraId="1DCE8CDC" w14:textId="7376CC62" w:rsidR="009673A6" w:rsidRPr="00FA454B" w:rsidRDefault="009673A6" w:rsidP="1C078F83">
            <w:pPr>
              <w:ind w:left="360"/>
              <w:rPr>
                <w:rFonts w:eastAsia="Times New Roman" w:cs="Times New Roman"/>
                <w:b/>
                <w:bCs/>
                <w:color w:val="000000" w:themeColor="text1"/>
              </w:rPr>
            </w:pPr>
          </w:p>
        </w:tc>
        <w:tc>
          <w:tcPr>
            <w:tcW w:w="5798" w:type="dxa"/>
            <w:shd w:val="clear" w:color="auto" w:fill="BDD6EE" w:themeFill="accent1" w:themeFillTint="66"/>
          </w:tcPr>
          <w:p w14:paraId="0FB78278" w14:textId="59F88F4E" w:rsidR="009673A6" w:rsidRDefault="009673A6" w:rsidP="1A074E58">
            <w:pPr>
              <w:rPr>
                <w:rFonts w:ascii="Calibri" w:eastAsia="Calibri" w:hAnsi="Calibri" w:cs="Calibri"/>
                <w:sz w:val="24"/>
                <w:szCs w:val="24"/>
              </w:rPr>
            </w:pPr>
          </w:p>
        </w:tc>
        <w:tc>
          <w:tcPr>
            <w:tcW w:w="1710" w:type="dxa"/>
            <w:shd w:val="clear" w:color="auto" w:fill="BDD6EE" w:themeFill="accent1" w:themeFillTint="66"/>
          </w:tcPr>
          <w:p w14:paraId="1FC39945" w14:textId="77777777" w:rsidR="009673A6" w:rsidRDefault="009673A6" w:rsidP="008F7618"/>
        </w:tc>
      </w:tr>
      <w:tr w:rsidR="009673A6" w14:paraId="0562CB0E" w14:textId="77777777" w:rsidTr="001C4F2F">
        <w:tc>
          <w:tcPr>
            <w:tcW w:w="2297" w:type="dxa"/>
          </w:tcPr>
          <w:p w14:paraId="34CE0A41" w14:textId="038A482B" w:rsidR="009673A6" w:rsidRPr="00E70ECD" w:rsidRDefault="00C72715" w:rsidP="00E70ECD">
            <w:pPr>
              <w:pStyle w:val="ListParagraph"/>
              <w:numPr>
                <w:ilvl w:val="0"/>
                <w:numId w:val="3"/>
              </w:numPr>
              <w:rPr>
                <w:rFonts w:eastAsia="Times New Roman" w:cs="Times New Roman"/>
                <w:b/>
                <w:color w:val="000000"/>
              </w:rPr>
            </w:pPr>
            <w:r w:rsidRPr="00E70ECD">
              <w:rPr>
                <w:b/>
                <w:bCs/>
              </w:rPr>
              <w:t>Chair’s Report and Executive Action Items</w:t>
            </w:r>
          </w:p>
        </w:tc>
        <w:tc>
          <w:tcPr>
            <w:tcW w:w="5798" w:type="dxa"/>
          </w:tcPr>
          <w:p w14:paraId="6FBCFA42" w14:textId="77777777" w:rsidR="00166088" w:rsidRDefault="00C72715" w:rsidP="00FA454B">
            <w:r>
              <w:t>W. Ko noted that there were no pending tasks to require next week’s meeting.</w:t>
            </w:r>
          </w:p>
          <w:p w14:paraId="1C37CB04" w14:textId="77777777" w:rsidR="00C72715" w:rsidRDefault="00C72715" w:rsidP="00FA454B"/>
          <w:p w14:paraId="7F761F82" w14:textId="77777777" w:rsidR="00C72715" w:rsidRDefault="00C72715" w:rsidP="00FA454B">
            <w:r>
              <w:t>Discussion on whether to hold off on Mathematics proposals until BA/BS proposals catch up.</w:t>
            </w:r>
          </w:p>
          <w:p w14:paraId="301B472A" w14:textId="77777777" w:rsidR="00C72715" w:rsidRDefault="00C72715" w:rsidP="00FA454B"/>
          <w:p w14:paraId="62EBF3C5" w14:textId="2A48E346" w:rsidR="00C72715" w:rsidRDefault="00C72715" w:rsidP="00FA454B">
            <w:r>
              <w:t>S. Powers noted that the minor really unrelated as far as student enrollments go (different set of students).</w:t>
            </w:r>
          </w:p>
        </w:tc>
        <w:tc>
          <w:tcPr>
            <w:tcW w:w="1710" w:type="dxa"/>
          </w:tcPr>
          <w:p w14:paraId="6D98A12B" w14:textId="44EF94C4" w:rsidR="009673A6" w:rsidRDefault="009673A6" w:rsidP="008F7618"/>
        </w:tc>
      </w:tr>
      <w:tr w:rsidR="009673A6" w14:paraId="00B33B1C" w14:textId="77777777" w:rsidTr="001C4F2F">
        <w:tc>
          <w:tcPr>
            <w:tcW w:w="2297" w:type="dxa"/>
          </w:tcPr>
          <w:p w14:paraId="5EC4C2D9" w14:textId="77777777" w:rsidR="009673A6" w:rsidRPr="00CE4364" w:rsidRDefault="009673A6" w:rsidP="00022204">
            <w:pPr>
              <w:rPr>
                <w:i/>
              </w:rPr>
            </w:pPr>
            <w:r w:rsidRPr="00CE4364">
              <w:rPr>
                <w:i/>
              </w:rPr>
              <w:t>Motion to Suspend the rules</w:t>
            </w:r>
          </w:p>
          <w:p w14:paraId="4CD3147B" w14:textId="77777777" w:rsidR="009673A6" w:rsidRDefault="009673A6" w:rsidP="00022204"/>
          <w:p w14:paraId="58C5A40D" w14:textId="77777777" w:rsidR="009673A6" w:rsidRDefault="009673A6" w:rsidP="00022204"/>
          <w:p w14:paraId="313359BF" w14:textId="77777777" w:rsidR="009673A6" w:rsidRDefault="009673A6" w:rsidP="00022204"/>
          <w:p w14:paraId="202EF8E0" w14:textId="27FAE235" w:rsidR="009673A6" w:rsidRPr="00E70ECD" w:rsidRDefault="009673A6" w:rsidP="00E70ECD">
            <w:pPr>
              <w:rPr>
                <w:b/>
                <w:bCs/>
              </w:rPr>
            </w:pPr>
          </w:p>
        </w:tc>
        <w:tc>
          <w:tcPr>
            <w:tcW w:w="5798" w:type="dxa"/>
          </w:tcPr>
          <w:p w14:paraId="1A2E1BF7" w14:textId="6A1EF35F" w:rsidR="009673A6" w:rsidRPr="00CE4364" w:rsidRDefault="00F47433" w:rsidP="008F7618">
            <w:pPr>
              <w:rPr>
                <w:i/>
              </w:rPr>
            </w:pPr>
            <w:r w:rsidRPr="00CE4364">
              <w:rPr>
                <w:i/>
              </w:rPr>
              <w:t>Note – CAAC default rules do not allow curriculum to be voted on at the same meeting it was presented.  The committee can vote to suspend these rules in order to vote at the same meeting (i.e., to avoid needing to meet only to vote, or to get a proposal moved along a week sooner).</w:t>
            </w:r>
          </w:p>
          <w:p w14:paraId="2946DB82" w14:textId="77777777" w:rsidR="009673A6" w:rsidRPr="00637E20" w:rsidRDefault="009673A6" w:rsidP="008F7618"/>
        </w:tc>
        <w:tc>
          <w:tcPr>
            <w:tcW w:w="1710" w:type="dxa"/>
          </w:tcPr>
          <w:p w14:paraId="2C7DC25A" w14:textId="77777777" w:rsidR="009673A6" w:rsidRDefault="00C72715" w:rsidP="008F7618">
            <w:r>
              <w:t>Motion to suspend the rules by J. Kinne.</w:t>
            </w:r>
          </w:p>
          <w:p w14:paraId="0C5DCC83" w14:textId="77777777" w:rsidR="00C72715" w:rsidRDefault="00C72715" w:rsidP="008F7618">
            <w:r>
              <w:t>Seconded by B. Schaefer.</w:t>
            </w:r>
          </w:p>
          <w:p w14:paraId="5997CC1D" w14:textId="4FF07B04" w:rsidR="00C72715" w:rsidRDefault="00C72715" w:rsidP="008F7618">
            <w:r>
              <w:t>(10-0)</w:t>
            </w:r>
          </w:p>
        </w:tc>
      </w:tr>
      <w:tr w:rsidR="009673A6" w14:paraId="242E4A8F" w14:textId="77777777" w:rsidTr="001C4F2F">
        <w:tc>
          <w:tcPr>
            <w:tcW w:w="2297" w:type="dxa"/>
            <w:shd w:val="clear" w:color="auto" w:fill="BDD6EE" w:themeFill="accent1" w:themeFillTint="66"/>
          </w:tcPr>
          <w:p w14:paraId="52E56223" w14:textId="77777777" w:rsidR="009673A6" w:rsidRPr="00022204" w:rsidRDefault="009673A6" w:rsidP="00022204"/>
        </w:tc>
        <w:tc>
          <w:tcPr>
            <w:tcW w:w="5798" w:type="dxa"/>
            <w:shd w:val="clear" w:color="auto" w:fill="BDD6EE" w:themeFill="accent1" w:themeFillTint="66"/>
          </w:tcPr>
          <w:p w14:paraId="6DFB9E20" w14:textId="77777777" w:rsidR="009673A6" w:rsidRDefault="009673A6" w:rsidP="008F7618"/>
        </w:tc>
        <w:tc>
          <w:tcPr>
            <w:tcW w:w="1710" w:type="dxa"/>
            <w:shd w:val="clear" w:color="auto" w:fill="BDD6EE" w:themeFill="accent1" w:themeFillTint="66"/>
          </w:tcPr>
          <w:p w14:paraId="1DB5DCFB" w14:textId="15B9EFC6" w:rsidR="009673A6" w:rsidRDefault="009673A6" w:rsidP="000F6CD0"/>
        </w:tc>
      </w:tr>
      <w:tr w:rsidR="009673A6" w14:paraId="738610EB" w14:textId="77777777" w:rsidTr="001C4F2F">
        <w:tc>
          <w:tcPr>
            <w:tcW w:w="2297" w:type="dxa"/>
          </w:tcPr>
          <w:p w14:paraId="637805D2" w14:textId="2F596600" w:rsidR="009673A6" w:rsidRPr="00E70ECD" w:rsidRDefault="009673A6" w:rsidP="00E70ECD">
            <w:pPr>
              <w:pStyle w:val="ListParagraph"/>
              <w:numPr>
                <w:ilvl w:val="0"/>
                <w:numId w:val="3"/>
              </w:numPr>
              <w:rPr>
                <w:b/>
              </w:rPr>
            </w:pPr>
            <w:r w:rsidRPr="00E70ECD">
              <w:rPr>
                <w:b/>
                <w:bCs/>
              </w:rPr>
              <w:t>Executive Committee Report</w:t>
            </w:r>
          </w:p>
        </w:tc>
        <w:tc>
          <w:tcPr>
            <w:tcW w:w="5798" w:type="dxa"/>
          </w:tcPr>
          <w:p w14:paraId="2DE81BF3" w14:textId="77777777" w:rsidR="009673A6" w:rsidRDefault="00C15C88" w:rsidP="008F7618">
            <w:r>
              <w:t>S. Phillips raised the question of the CAAC charges of assessing enrollment in new programs and career readiness.</w:t>
            </w:r>
          </w:p>
          <w:p w14:paraId="56B16949" w14:textId="77777777" w:rsidR="00C15C88" w:rsidRDefault="00C15C88" w:rsidP="008F7618"/>
          <w:p w14:paraId="463F29E8" w14:textId="14CE90A3" w:rsidR="00C15C88" w:rsidRDefault="00C15C88" w:rsidP="008F7618">
            <w:r>
              <w:t>General discussion again on how best to address concern over majors enrolling as minors in the same program—whether to require alterations of the catalog copy to specifically prohibit and/or to devise language for the CAPs manual for program revisions and allow programs flexibility.  Resolved that this should be a discussion item for a future meeting.</w:t>
            </w:r>
          </w:p>
        </w:tc>
        <w:tc>
          <w:tcPr>
            <w:tcW w:w="1710" w:type="dxa"/>
          </w:tcPr>
          <w:p w14:paraId="3B7B4B86" w14:textId="7B0F6F8C" w:rsidR="009673A6" w:rsidRDefault="009673A6" w:rsidP="008F7618"/>
        </w:tc>
      </w:tr>
      <w:tr w:rsidR="009673A6" w14:paraId="627F0DBB" w14:textId="77777777" w:rsidTr="001C4F2F">
        <w:tc>
          <w:tcPr>
            <w:tcW w:w="2297" w:type="dxa"/>
            <w:shd w:val="clear" w:color="auto" w:fill="BDD6EE" w:themeFill="accent1" w:themeFillTint="66"/>
          </w:tcPr>
          <w:p w14:paraId="5E258089" w14:textId="1EA8932C" w:rsidR="009673A6" w:rsidRPr="00E70ECD" w:rsidRDefault="009673A6" w:rsidP="00E70ECD">
            <w:pPr>
              <w:rPr>
                <w:b/>
                <w:bCs/>
              </w:rPr>
            </w:pPr>
          </w:p>
        </w:tc>
        <w:tc>
          <w:tcPr>
            <w:tcW w:w="5798" w:type="dxa"/>
            <w:shd w:val="clear" w:color="auto" w:fill="BDD6EE" w:themeFill="accent1" w:themeFillTint="66"/>
          </w:tcPr>
          <w:p w14:paraId="5AA6B9DB" w14:textId="4422CB7C" w:rsidR="009673A6" w:rsidRDefault="009673A6" w:rsidP="008F7618"/>
        </w:tc>
        <w:tc>
          <w:tcPr>
            <w:tcW w:w="1710" w:type="dxa"/>
            <w:shd w:val="clear" w:color="auto" w:fill="BDD6EE" w:themeFill="accent1" w:themeFillTint="66"/>
          </w:tcPr>
          <w:p w14:paraId="3A0FF5F2" w14:textId="05E53F59" w:rsidR="009673A6" w:rsidRDefault="009673A6" w:rsidP="00FB4F82"/>
        </w:tc>
      </w:tr>
      <w:tr w:rsidR="009673A6" w14:paraId="5630AD66" w14:textId="77777777" w:rsidTr="001C4F2F">
        <w:tc>
          <w:tcPr>
            <w:tcW w:w="2297" w:type="dxa"/>
          </w:tcPr>
          <w:p w14:paraId="61829076" w14:textId="4CF29F41" w:rsidR="009673A6" w:rsidRPr="00E70ECD" w:rsidRDefault="009673A6" w:rsidP="00E70ECD">
            <w:pPr>
              <w:pStyle w:val="ListParagraph"/>
              <w:numPr>
                <w:ilvl w:val="0"/>
                <w:numId w:val="3"/>
              </w:numPr>
              <w:rPr>
                <w:b/>
              </w:rPr>
            </w:pPr>
            <w:r w:rsidRPr="00E70ECD">
              <w:rPr>
                <w:b/>
                <w:bCs/>
              </w:rPr>
              <w:t>Old Business</w:t>
            </w:r>
          </w:p>
        </w:tc>
        <w:tc>
          <w:tcPr>
            <w:tcW w:w="5798" w:type="dxa"/>
          </w:tcPr>
          <w:p w14:paraId="33198BA1" w14:textId="40AB6103" w:rsidR="009673A6" w:rsidRDefault="00A80FC4" w:rsidP="008F7618">
            <w:r>
              <w:t>NA</w:t>
            </w:r>
          </w:p>
          <w:p w14:paraId="2BA226A1" w14:textId="77777777" w:rsidR="009673A6" w:rsidRDefault="009673A6" w:rsidP="008F7618"/>
        </w:tc>
        <w:tc>
          <w:tcPr>
            <w:tcW w:w="1710" w:type="dxa"/>
          </w:tcPr>
          <w:p w14:paraId="17AD93B2" w14:textId="57AEE27E" w:rsidR="009673A6" w:rsidRDefault="009673A6" w:rsidP="008F7618"/>
        </w:tc>
      </w:tr>
      <w:tr w:rsidR="009673A6" w14:paraId="6481C582" w14:textId="77777777" w:rsidTr="001C4F2F">
        <w:tc>
          <w:tcPr>
            <w:tcW w:w="2297" w:type="dxa"/>
            <w:shd w:val="clear" w:color="auto" w:fill="BDD6EE" w:themeFill="accent1" w:themeFillTint="66"/>
          </w:tcPr>
          <w:p w14:paraId="213A52DA" w14:textId="24291F00" w:rsidR="009673A6" w:rsidRPr="00E70ECD" w:rsidRDefault="009673A6" w:rsidP="00E70ECD">
            <w:pPr>
              <w:rPr>
                <w:b/>
                <w:bCs/>
              </w:rPr>
            </w:pPr>
          </w:p>
        </w:tc>
        <w:tc>
          <w:tcPr>
            <w:tcW w:w="5798" w:type="dxa"/>
            <w:shd w:val="clear" w:color="auto" w:fill="BDD6EE" w:themeFill="accent1" w:themeFillTint="66"/>
          </w:tcPr>
          <w:p w14:paraId="39609875" w14:textId="20532686" w:rsidR="009673A6" w:rsidRDefault="009673A6" w:rsidP="008F7618"/>
        </w:tc>
        <w:tc>
          <w:tcPr>
            <w:tcW w:w="1710" w:type="dxa"/>
            <w:shd w:val="clear" w:color="auto" w:fill="BDD6EE" w:themeFill="accent1" w:themeFillTint="66"/>
          </w:tcPr>
          <w:p w14:paraId="0DE4B5B7" w14:textId="5897095B" w:rsidR="009673A6" w:rsidRDefault="009673A6" w:rsidP="008F7618"/>
        </w:tc>
      </w:tr>
      <w:tr w:rsidR="009673A6" w14:paraId="66204FF1" w14:textId="77777777" w:rsidTr="001C4F2F">
        <w:tc>
          <w:tcPr>
            <w:tcW w:w="2297" w:type="dxa"/>
          </w:tcPr>
          <w:p w14:paraId="2DBF0D7D" w14:textId="354ED767" w:rsidR="009673A6" w:rsidRPr="00E70ECD" w:rsidRDefault="009673A6" w:rsidP="00E70ECD">
            <w:pPr>
              <w:rPr>
                <w:b/>
              </w:rPr>
            </w:pPr>
            <w:r w:rsidRPr="00E70ECD">
              <w:rPr>
                <w:b/>
                <w:bCs/>
              </w:rPr>
              <w:t>Adjournment</w:t>
            </w:r>
          </w:p>
        </w:tc>
        <w:tc>
          <w:tcPr>
            <w:tcW w:w="5798" w:type="dxa"/>
          </w:tcPr>
          <w:p w14:paraId="6B62F1B3" w14:textId="36417807" w:rsidR="009673A6" w:rsidRDefault="009673A6" w:rsidP="00C72715">
            <w:r>
              <w:t xml:space="preserve">Meeting adjourned  </w:t>
            </w:r>
            <w:r w:rsidR="00C72715">
              <w:t>1:20 PM</w:t>
            </w:r>
          </w:p>
        </w:tc>
        <w:tc>
          <w:tcPr>
            <w:tcW w:w="1710" w:type="dxa"/>
          </w:tcPr>
          <w:p w14:paraId="1F5C4F15" w14:textId="62803202" w:rsidR="009673A6" w:rsidRDefault="009673A6" w:rsidP="005F79B1">
            <w:r>
              <w:t>Motion</w:t>
            </w:r>
            <w:r w:rsidR="00C15C88">
              <w:t>ed</w:t>
            </w:r>
            <w:r>
              <w:t xml:space="preserve"> by </w:t>
            </w:r>
            <w:r w:rsidR="00C15C88">
              <w:t>R. Bauer, S</w:t>
            </w:r>
            <w:r w:rsidR="001973F4">
              <w:t>econd</w:t>
            </w:r>
            <w:r w:rsidR="00C15C88">
              <w:t>ed by J. Kinne</w:t>
            </w:r>
            <w:r w:rsidR="001973F4">
              <w:t>.</w:t>
            </w:r>
          </w:p>
          <w:p w14:paraId="02F2C34E" w14:textId="77777777" w:rsidR="009673A6" w:rsidRDefault="009673A6" w:rsidP="008F7618"/>
        </w:tc>
      </w:tr>
      <w:tr w:rsidR="009673A6" w14:paraId="362DD996" w14:textId="77777777" w:rsidTr="001C4F2F">
        <w:tc>
          <w:tcPr>
            <w:tcW w:w="2297" w:type="dxa"/>
          </w:tcPr>
          <w:p w14:paraId="0B7F62C4" w14:textId="7B33EE8D" w:rsidR="009673A6" w:rsidRPr="00E70ECD" w:rsidRDefault="009673A6" w:rsidP="00E70ECD">
            <w:pPr>
              <w:rPr>
                <w:b/>
                <w:bCs/>
              </w:rPr>
            </w:pPr>
          </w:p>
        </w:tc>
        <w:tc>
          <w:tcPr>
            <w:tcW w:w="5798" w:type="dxa"/>
          </w:tcPr>
          <w:p w14:paraId="3F9E6051" w14:textId="6F78752B" w:rsidR="009673A6" w:rsidRDefault="009673A6" w:rsidP="008F7618"/>
        </w:tc>
        <w:tc>
          <w:tcPr>
            <w:tcW w:w="1710" w:type="dxa"/>
          </w:tcPr>
          <w:p w14:paraId="5A7C8996" w14:textId="44FE3925" w:rsidR="009673A6" w:rsidRDefault="009673A6" w:rsidP="005F79B1"/>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5CCB" w14:textId="77777777" w:rsidR="003F197E" w:rsidRDefault="003F197E" w:rsidP="000F6CD0">
      <w:pPr>
        <w:spacing w:after="0" w:line="240" w:lineRule="auto"/>
      </w:pPr>
      <w:r>
        <w:separator/>
      </w:r>
    </w:p>
  </w:endnote>
  <w:endnote w:type="continuationSeparator" w:id="0">
    <w:p w14:paraId="3DDBF241" w14:textId="77777777" w:rsidR="003F197E" w:rsidRDefault="003F197E"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3BBAB" w14:textId="77777777" w:rsidR="003F197E" w:rsidRDefault="003F197E" w:rsidP="000F6CD0">
      <w:pPr>
        <w:spacing w:after="0" w:line="240" w:lineRule="auto"/>
      </w:pPr>
      <w:r>
        <w:separator/>
      </w:r>
    </w:p>
  </w:footnote>
  <w:footnote w:type="continuationSeparator" w:id="0">
    <w:p w14:paraId="27115D10" w14:textId="77777777" w:rsidR="003F197E" w:rsidRDefault="003F197E"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w:t>
    </w:r>
    <w:proofErr w:type="gramStart"/>
    <w:r>
      <w:t>unapproved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7E93"/>
    <w:rsid w:val="00022204"/>
    <w:rsid w:val="000561E0"/>
    <w:rsid w:val="000856DA"/>
    <w:rsid w:val="000A4AA6"/>
    <w:rsid w:val="000A66E9"/>
    <w:rsid w:val="000C0034"/>
    <w:rsid w:val="000D27D6"/>
    <w:rsid w:val="000F6CD0"/>
    <w:rsid w:val="00151968"/>
    <w:rsid w:val="00166088"/>
    <w:rsid w:val="00187E4B"/>
    <w:rsid w:val="001973F4"/>
    <w:rsid w:val="001C1858"/>
    <w:rsid w:val="001C3488"/>
    <w:rsid w:val="001C4F2F"/>
    <w:rsid w:val="001D7500"/>
    <w:rsid w:val="0022031A"/>
    <w:rsid w:val="00253FCC"/>
    <w:rsid w:val="00276177"/>
    <w:rsid w:val="002B411B"/>
    <w:rsid w:val="002D0103"/>
    <w:rsid w:val="002E6364"/>
    <w:rsid w:val="003012FE"/>
    <w:rsid w:val="00351490"/>
    <w:rsid w:val="00364EBA"/>
    <w:rsid w:val="003812D1"/>
    <w:rsid w:val="0038538E"/>
    <w:rsid w:val="003E11FD"/>
    <w:rsid w:val="003E41C6"/>
    <w:rsid w:val="003F197E"/>
    <w:rsid w:val="004014F1"/>
    <w:rsid w:val="00407B02"/>
    <w:rsid w:val="00455410"/>
    <w:rsid w:val="00464D63"/>
    <w:rsid w:val="004D4025"/>
    <w:rsid w:val="004F0223"/>
    <w:rsid w:val="004F309C"/>
    <w:rsid w:val="0050097A"/>
    <w:rsid w:val="005169A8"/>
    <w:rsid w:val="0053490F"/>
    <w:rsid w:val="0057452D"/>
    <w:rsid w:val="00584894"/>
    <w:rsid w:val="005F79B1"/>
    <w:rsid w:val="00645174"/>
    <w:rsid w:val="006576C1"/>
    <w:rsid w:val="006A4890"/>
    <w:rsid w:val="006F44F9"/>
    <w:rsid w:val="0071310B"/>
    <w:rsid w:val="00747BEE"/>
    <w:rsid w:val="00897AA3"/>
    <w:rsid w:val="008C36E6"/>
    <w:rsid w:val="008F7618"/>
    <w:rsid w:val="009017F3"/>
    <w:rsid w:val="00927325"/>
    <w:rsid w:val="00936ACA"/>
    <w:rsid w:val="00963EA6"/>
    <w:rsid w:val="009673A6"/>
    <w:rsid w:val="00967E2D"/>
    <w:rsid w:val="00995780"/>
    <w:rsid w:val="009A37AE"/>
    <w:rsid w:val="009C0400"/>
    <w:rsid w:val="009D303D"/>
    <w:rsid w:val="00A162A6"/>
    <w:rsid w:val="00A80FC4"/>
    <w:rsid w:val="00A830E0"/>
    <w:rsid w:val="00A9516D"/>
    <w:rsid w:val="00AC76C2"/>
    <w:rsid w:val="00AE635A"/>
    <w:rsid w:val="00C15BAA"/>
    <w:rsid w:val="00C15C88"/>
    <w:rsid w:val="00C166F7"/>
    <w:rsid w:val="00C72715"/>
    <w:rsid w:val="00CD2D2D"/>
    <w:rsid w:val="00CE152A"/>
    <w:rsid w:val="00CE4364"/>
    <w:rsid w:val="00D17D86"/>
    <w:rsid w:val="00D31153"/>
    <w:rsid w:val="00D34E94"/>
    <w:rsid w:val="00D46A5E"/>
    <w:rsid w:val="00D520F6"/>
    <w:rsid w:val="00D6367E"/>
    <w:rsid w:val="00D87610"/>
    <w:rsid w:val="00DC141D"/>
    <w:rsid w:val="00E145F2"/>
    <w:rsid w:val="00E17628"/>
    <w:rsid w:val="00E22D61"/>
    <w:rsid w:val="00E24EE6"/>
    <w:rsid w:val="00E57DA4"/>
    <w:rsid w:val="00E70ECD"/>
    <w:rsid w:val="00E95AC2"/>
    <w:rsid w:val="00E968C2"/>
    <w:rsid w:val="00EC4256"/>
    <w:rsid w:val="00F126B8"/>
    <w:rsid w:val="00F21AA0"/>
    <w:rsid w:val="00F47433"/>
    <w:rsid w:val="00F47550"/>
    <w:rsid w:val="00F62D72"/>
    <w:rsid w:val="00F90252"/>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F0B37-41BD-413B-B9D8-644DDA472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02F31-5E3F-4765-B212-8583F1353282}">
  <ds:schemaRefs>
    <ds:schemaRef ds:uri="http://schemas.microsoft.com/sharepoint/v3/contenttype/forms"/>
  </ds:schemaRefs>
</ds:datastoreItem>
</file>

<file path=customXml/itemProps3.xml><?xml version="1.0" encoding="utf-8"?>
<ds:datastoreItem xmlns:ds="http://schemas.openxmlformats.org/officeDocument/2006/customXml" ds:itemID="{0DCB6F8B-31B9-4D0D-A1A9-1982B61146BF}">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af45800-202a-4d04-9eb1-dcead2d857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2019-12-09T15:52:00Z</dcterms:created>
  <dcterms:modified xsi:type="dcterms:W3CDTF">2019-12-09T15:52:00Z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