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1679C" w14:textId="77777777" w:rsidR="009017F3" w:rsidRPr="009C1048" w:rsidRDefault="009017F3" w:rsidP="009017F3">
      <w:pPr>
        <w:spacing w:after="0" w:line="240" w:lineRule="auto"/>
        <w:jc w:val="center"/>
        <w:rPr>
          <w:rFonts w:eastAsia="Times New Roman"/>
          <w:b/>
          <w:sz w:val="28"/>
          <w:szCs w:val="28"/>
        </w:rPr>
      </w:pPr>
      <w:bookmarkStart w:id="0" w:name="_GoBack"/>
      <w:bookmarkEnd w:id="0"/>
      <w:r w:rsidRPr="009C1048">
        <w:rPr>
          <w:rFonts w:eastAsia="Times New Roman"/>
          <w:b/>
          <w:sz w:val="28"/>
          <w:szCs w:val="28"/>
        </w:rPr>
        <w:t>University Curriculum and Academic Affairs Committee</w:t>
      </w:r>
    </w:p>
    <w:p w14:paraId="2BF95D21" w14:textId="77777777" w:rsidR="009017F3" w:rsidRDefault="009017F3" w:rsidP="009017F3">
      <w:pPr>
        <w:spacing w:after="0" w:line="240" w:lineRule="auto"/>
        <w:jc w:val="center"/>
        <w:rPr>
          <w:rFonts w:eastAsia="Times New Roman"/>
          <w:b/>
          <w:sz w:val="28"/>
          <w:szCs w:val="28"/>
        </w:rPr>
      </w:pPr>
      <w:r w:rsidRPr="009C1048">
        <w:rPr>
          <w:rFonts w:eastAsia="Times New Roman"/>
          <w:b/>
          <w:sz w:val="28"/>
          <w:szCs w:val="28"/>
        </w:rPr>
        <w:t>UCAAC</w:t>
      </w:r>
    </w:p>
    <w:p w14:paraId="1F91BD1C" w14:textId="6F2806DE" w:rsidR="00351490" w:rsidRDefault="081EA8A9" w:rsidP="081EA8A9">
      <w:pPr>
        <w:spacing w:after="0" w:line="240" w:lineRule="auto"/>
        <w:jc w:val="center"/>
        <w:rPr>
          <w:rFonts w:eastAsia="Times New Roman"/>
          <w:b/>
          <w:bCs/>
          <w:sz w:val="28"/>
          <w:szCs w:val="28"/>
        </w:rPr>
      </w:pPr>
      <w:r w:rsidRPr="081EA8A9">
        <w:rPr>
          <w:b/>
          <w:bCs/>
        </w:rPr>
        <w:t xml:space="preserve">Meeting # </w:t>
      </w:r>
      <w:r w:rsidR="001E411B">
        <w:rPr>
          <w:b/>
          <w:bCs/>
        </w:rPr>
        <w:t>3</w:t>
      </w:r>
    </w:p>
    <w:p w14:paraId="6B551E9D" w14:textId="5CAEE303" w:rsidR="00351490" w:rsidRPr="007B4915" w:rsidRDefault="005A5DD1" w:rsidP="081EA8A9">
      <w:pPr>
        <w:spacing w:after="0" w:line="240" w:lineRule="auto"/>
        <w:jc w:val="center"/>
        <w:rPr>
          <w:b/>
          <w:bCs/>
        </w:rPr>
      </w:pPr>
      <w:r>
        <w:rPr>
          <w:b/>
          <w:bCs/>
        </w:rPr>
        <w:t>October 15</w:t>
      </w:r>
      <w:r w:rsidR="081EA8A9" w:rsidRPr="081EA8A9">
        <w:rPr>
          <w:b/>
          <w:bCs/>
        </w:rPr>
        <w:t>, 2019</w:t>
      </w:r>
    </w:p>
    <w:p w14:paraId="047C8F08" w14:textId="77777777" w:rsidR="00351490" w:rsidRPr="007B4915" w:rsidRDefault="00351490" w:rsidP="00351490">
      <w:pPr>
        <w:spacing w:after="0" w:line="240" w:lineRule="auto"/>
        <w:jc w:val="center"/>
        <w:rPr>
          <w:b/>
        </w:rPr>
      </w:pPr>
      <w:r w:rsidRPr="007B4915">
        <w:rPr>
          <w:b/>
        </w:rPr>
        <w:t>Stalker Hall, Room 211</w:t>
      </w:r>
    </w:p>
    <w:p w14:paraId="38B4F77C" w14:textId="11C9C974" w:rsidR="009D303D" w:rsidRPr="00276177" w:rsidRDefault="00351490" w:rsidP="00276177">
      <w:pPr>
        <w:rPr>
          <w:rFonts w:ascii="Times New Roman" w:eastAsia="Times New Roman" w:hAnsi="Times New Roman" w:cs="Times New Roman"/>
          <w:sz w:val="24"/>
          <w:szCs w:val="24"/>
        </w:rPr>
      </w:pPr>
      <w:r w:rsidRPr="009C1048">
        <w:rPr>
          <w:b/>
        </w:rPr>
        <w:t>CAAC Members Present</w:t>
      </w:r>
      <w:r>
        <w:t>:</w:t>
      </w:r>
      <w:r w:rsidR="009C0400" w:rsidRPr="009C0400">
        <w:t xml:space="preserve"> Dan Clark, Margaret Hill, Jeff Kinne, Winnie Ko, Blake </w:t>
      </w:r>
      <w:proofErr w:type="spellStart"/>
      <w:r w:rsidR="009C0400" w:rsidRPr="009C0400">
        <w:t>Rayfield</w:t>
      </w:r>
      <w:proofErr w:type="spellEnd"/>
      <w:r w:rsidR="009C0400" w:rsidRPr="009C0400">
        <w:t>, Edith Wittenmyer</w:t>
      </w:r>
      <w:r w:rsidR="00276177">
        <w:rPr>
          <w:rFonts w:ascii="Times New Roman" w:eastAsia="Times New Roman" w:hAnsi="Times New Roman" w:cs="Times New Roman"/>
          <w:sz w:val="24"/>
          <w:szCs w:val="24"/>
        </w:rPr>
        <w:br/>
      </w:r>
      <w:r w:rsidRPr="009C1048">
        <w:rPr>
          <w:b/>
        </w:rPr>
        <w:t>Absent:</w:t>
      </w:r>
      <w:r w:rsidR="005F79B1">
        <w:t xml:space="preserve"> </w:t>
      </w:r>
      <w:r w:rsidR="005A5DD1" w:rsidRPr="009C0400">
        <w:t>Renee Bauer</w:t>
      </w:r>
      <w:r w:rsidR="005A5DD1">
        <w:t xml:space="preserve">, </w:t>
      </w:r>
      <w:r w:rsidR="005A5DD1" w:rsidRPr="009C0400">
        <w:t>Andrew Payne</w:t>
      </w:r>
      <w:r w:rsidR="005A5DD1">
        <w:t xml:space="preserve">, </w:t>
      </w:r>
      <w:r w:rsidR="005A5DD1" w:rsidRPr="009C0400">
        <w:t>Brian Schaefer</w:t>
      </w:r>
      <w:r w:rsidR="00276177">
        <w:rPr>
          <w:rFonts w:ascii="Times New Roman" w:eastAsia="Times New Roman" w:hAnsi="Times New Roman" w:cs="Times New Roman"/>
          <w:sz w:val="24"/>
          <w:szCs w:val="24"/>
        </w:rPr>
        <w:br/>
      </w:r>
      <w:r>
        <w:rPr>
          <w:b/>
        </w:rPr>
        <w:t>Guest</w:t>
      </w:r>
      <w:r w:rsidR="005F79B1">
        <w:t xml:space="preserve">: </w:t>
      </w:r>
      <w:r w:rsidR="005A5DD1">
        <w:t xml:space="preserve">Linda McQuiston and Marci </w:t>
      </w:r>
      <w:proofErr w:type="spellStart"/>
      <w:r w:rsidR="005A5DD1">
        <w:t>Everly</w:t>
      </w:r>
      <w:proofErr w:type="spellEnd"/>
      <w:r w:rsidR="00276177">
        <w:rPr>
          <w:rFonts w:ascii="Times New Roman" w:eastAsia="Times New Roman" w:hAnsi="Times New Roman" w:cs="Times New Roman"/>
          <w:sz w:val="24"/>
          <w:szCs w:val="24"/>
        </w:rPr>
        <w:br/>
      </w:r>
      <w:r w:rsidRPr="002F4D21">
        <w:rPr>
          <w:b/>
        </w:rPr>
        <w:t>Executive Committee</w:t>
      </w:r>
      <w:r>
        <w:t xml:space="preserve"> </w:t>
      </w:r>
      <w:r w:rsidRPr="002F4D21">
        <w:rPr>
          <w:b/>
        </w:rPr>
        <w:t>Lia</w:t>
      </w:r>
      <w:r w:rsidR="0050097A">
        <w:rPr>
          <w:b/>
        </w:rPr>
        <w:t>i</w:t>
      </w:r>
      <w:r w:rsidRPr="002F4D21">
        <w:rPr>
          <w:b/>
        </w:rPr>
        <w:t>son</w:t>
      </w:r>
      <w:r>
        <w:t xml:space="preserve">: </w:t>
      </w:r>
      <w:r w:rsidR="009C0400">
        <w:t>Shawn Phillips</w:t>
      </w:r>
      <w:r w:rsidR="00276177">
        <w:rPr>
          <w:rFonts w:ascii="Times New Roman" w:eastAsia="Times New Roman" w:hAnsi="Times New Roman" w:cs="Times New Roman"/>
          <w:sz w:val="24"/>
          <w:szCs w:val="24"/>
        </w:rPr>
        <w:br/>
      </w:r>
      <w:r>
        <w:rPr>
          <w:b/>
        </w:rPr>
        <w:t>Ex Officio</w:t>
      </w:r>
      <w:r w:rsidRPr="00BA42E1">
        <w:t xml:space="preserve">: </w:t>
      </w:r>
      <w:r w:rsidR="0057452D">
        <w:t xml:space="preserve">present – Whitney </w:t>
      </w:r>
      <w:proofErr w:type="spellStart"/>
      <w:r w:rsidR="0057452D">
        <w:t>Nesser</w:t>
      </w:r>
      <w:proofErr w:type="spellEnd"/>
      <w:r w:rsidR="0057452D">
        <w:t>,</w:t>
      </w:r>
      <w:r w:rsidR="005A5DD1" w:rsidRPr="005A5DD1">
        <w:t xml:space="preserve"> </w:t>
      </w:r>
      <w:r w:rsidR="005A5DD1">
        <w:t>Susan Powers,</w:t>
      </w:r>
      <w:r w:rsidR="005A5DD1" w:rsidRPr="005A5DD1">
        <w:t xml:space="preserve"> </w:t>
      </w:r>
      <w:r w:rsidR="005A5DD1" w:rsidRPr="00BA42E1">
        <w:t>Kelly Wilkinson</w:t>
      </w:r>
      <w:r w:rsidR="005A5DD1">
        <w:t xml:space="preserve">, </w:t>
      </w:r>
      <w:r w:rsidR="005A5DD1" w:rsidRPr="00BA42E1">
        <w:t>Bassam Yousif</w:t>
      </w:r>
      <w:r w:rsidR="005A5DD1">
        <w:t>.  Absent but ke</w:t>
      </w:r>
      <w:r w:rsidR="0057452D">
        <w:t>p</w:t>
      </w:r>
      <w:r w:rsidR="005A5DD1">
        <w:t>t</w:t>
      </w:r>
      <w:r w:rsidR="0057452D">
        <w:t xml:space="preserve"> on the weekly invitation – Linda Maule, </w:t>
      </w:r>
      <w:r w:rsidR="005A5DD1">
        <w:t xml:space="preserve">Angie Smith, </w:t>
      </w:r>
      <w:r w:rsidR="009C0400">
        <w:t xml:space="preserve">Jim Smallwood, Linda Sperry, </w:t>
      </w:r>
    </w:p>
    <w:tbl>
      <w:tblPr>
        <w:tblStyle w:val="TableGrid"/>
        <w:tblW w:w="9805" w:type="dxa"/>
        <w:tblLook w:val="04A0" w:firstRow="1" w:lastRow="0" w:firstColumn="1" w:lastColumn="0" w:noHBand="0" w:noVBand="1"/>
      </w:tblPr>
      <w:tblGrid>
        <w:gridCol w:w="2265"/>
        <w:gridCol w:w="5012"/>
        <w:gridCol w:w="2528"/>
      </w:tblGrid>
      <w:tr w:rsidR="009017F3" w14:paraId="56530705" w14:textId="77777777" w:rsidTr="00374B5F">
        <w:tc>
          <w:tcPr>
            <w:tcW w:w="2265" w:type="dxa"/>
            <w:shd w:val="clear" w:color="auto" w:fill="BDD6EE" w:themeFill="accent1" w:themeFillTint="66"/>
          </w:tcPr>
          <w:p w14:paraId="53A8696D" w14:textId="77777777" w:rsidR="009017F3" w:rsidRPr="000F6CD0" w:rsidRDefault="009017F3" w:rsidP="008F7618">
            <w:pPr>
              <w:jc w:val="center"/>
              <w:rPr>
                <w:b/>
              </w:rPr>
            </w:pPr>
            <w:r w:rsidRPr="000F6CD0">
              <w:rPr>
                <w:b/>
              </w:rPr>
              <w:t>Agenda Item</w:t>
            </w:r>
          </w:p>
        </w:tc>
        <w:tc>
          <w:tcPr>
            <w:tcW w:w="5012" w:type="dxa"/>
            <w:shd w:val="clear" w:color="auto" w:fill="BDD6EE" w:themeFill="accent1" w:themeFillTint="66"/>
          </w:tcPr>
          <w:p w14:paraId="4AFE23A4" w14:textId="77777777" w:rsidR="009017F3" w:rsidRPr="000F6CD0" w:rsidRDefault="009017F3" w:rsidP="008F7618">
            <w:pPr>
              <w:jc w:val="center"/>
              <w:rPr>
                <w:b/>
              </w:rPr>
            </w:pPr>
            <w:r w:rsidRPr="000F6CD0">
              <w:rPr>
                <w:b/>
              </w:rPr>
              <w:t>Discussion</w:t>
            </w:r>
          </w:p>
        </w:tc>
        <w:tc>
          <w:tcPr>
            <w:tcW w:w="2528" w:type="dxa"/>
            <w:shd w:val="clear" w:color="auto" w:fill="BDD6EE" w:themeFill="accent1" w:themeFillTint="66"/>
          </w:tcPr>
          <w:p w14:paraId="66A9C209" w14:textId="77777777" w:rsidR="009017F3" w:rsidRPr="000F6CD0" w:rsidRDefault="009017F3" w:rsidP="008F7618">
            <w:pPr>
              <w:rPr>
                <w:b/>
              </w:rPr>
            </w:pPr>
            <w:r w:rsidRPr="000F6CD0">
              <w:rPr>
                <w:b/>
              </w:rPr>
              <w:t>Recommendation/Action</w:t>
            </w:r>
          </w:p>
        </w:tc>
      </w:tr>
      <w:tr w:rsidR="009017F3" w14:paraId="5C86EB96" w14:textId="77777777" w:rsidTr="00374B5F">
        <w:tc>
          <w:tcPr>
            <w:tcW w:w="2265" w:type="dxa"/>
          </w:tcPr>
          <w:p w14:paraId="17337E17" w14:textId="77777777" w:rsidR="009017F3" w:rsidRPr="00FA454B" w:rsidRDefault="009017F3" w:rsidP="00FA454B">
            <w:pPr>
              <w:pStyle w:val="ListParagraph"/>
              <w:numPr>
                <w:ilvl w:val="0"/>
                <w:numId w:val="3"/>
              </w:numPr>
              <w:rPr>
                <w:b/>
                <w:sz w:val="24"/>
                <w:szCs w:val="24"/>
              </w:rPr>
            </w:pPr>
            <w:r w:rsidRPr="00FA454B">
              <w:rPr>
                <w:b/>
                <w:sz w:val="24"/>
                <w:szCs w:val="24"/>
              </w:rPr>
              <w:t>Call to Order</w:t>
            </w:r>
          </w:p>
        </w:tc>
        <w:tc>
          <w:tcPr>
            <w:tcW w:w="5012" w:type="dxa"/>
          </w:tcPr>
          <w:p w14:paraId="672A6659" w14:textId="1C1183C5" w:rsidR="005F79B1" w:rsidRDefault="005A5DD1" w:rsidP="008F7618">
            <w:r>
              <w:t>W. Ko</w:t>
            </w:r>
            <w:r w:rsidR="009017F3">
              <w:t xml:space="preserve"> </w:t>
            </w:r>
            <w:r w:rsidR="005F79B1">
              <w:t>called meeting to order at</w:t>
            </w:r>
            <w:r w:rsidR="00012380">
              <w:t xml:space="preserve"> </w:t>
            </w:r>
            <w:r w:rsidR="005F79B1">
              <w:t xml:space="preserve"> </w:t>
            </w:r>
            <w:r w:rsidR="00DC141D">
              <w:t>12:</w:t>
            </w:r>
            <w:r w:rsidR="009673A6">
              <w:t>30</w:t>
            </w:r>
          </w:p>
        </w:tc>
        <w:tc>
          <w:tcPr>
            <w:tcW w:w="2528" w:type="dxa"/>
          </w:tcPr>
          <w:p w14:paraId="0A37501D" w14:textId="77777777" w:rsidR="009017F3" w:rsidRDefault="009017F3" w:rsidP="008F7618"/>
        </w:tc>
      </w:tr>
      <w:tr w:rsidR="000F6CD0" w14:paraId="5DAB6C7B" w14:textId="77777777" w:rsidTr="00374B5F">
        <w:tc>
          <w:tcPr>
            <w:tcW w:w="2265" w:type="dxa"/>
            <w:shd w:val="clear" w:color="auto" w:fill="BDD6EE" w:themeFill="accent1" w:themeFillTint="66"/>
          </w:tcPr>
          <w:p w14:paraId="02EB378F" w14:textId="77777777" w:rsidR="000F6CD0" w:rsidRPr="00FA454B" w:rsidRDefault="000F6CD0" w:rsidP="000F6CD0">
            <w:pPr>
              <w:pStyle w:val="ListParagraph"/>
              <w:rPr>
                <w:b/>
                <w:sz w:val="24"/>
                <w:szCs w:val="24"/>
              </w:rPr>
            </w:pPr>
          </w:p>
        </w:tc>
        <w:tc>
          <w:tcPr>
            <w:tcW w:w="5012" w:type="dxa"/>
            <w:shd w:val="clear" w:color="auto" w:fill="BDD6EE" w:themeFill="accent1" w:themeFillTint="66"/>
          </w:tcPr>
          <w:p w14:paraId="6A05A809" w14:textId="77777777" w:rsidR="000F6CD0" w:rsidRDefault="000F6CD0" w:rsidP="008F7618"/>
        </w:tc>
        <w:tc>
          <w:tcPr>
            <w:tcW w:w="2528" w:type="dxa"/>
            <w:shd w:val="clear" w:color="auto" w:fill="BDD6EE" w:themeFill="accent1" w:themeFillTint="66"/>
          </w:tcPr>
          <w:p w14:paraId="5A39BBE3" w14:textId="77777777" w:rsidR="000F6CD0" w:rsidRDefault="000F6CD0" w:rsidP="008F7618"/>
        </w:tc>
      </w:tr>
      <w:tr w:rsidR="009017F3" w14:paraId="12B55489" w14:textId="77777777" w:rsidTr="00374B5F">
        <w:tc>
          <w:tcPr>
            <w:tcW w:w="2265" w:type="dxa"/>
          </w:tcPr>
          <w:p w14:paraId="15EB67AA" w14:textId="77777777" w:rsidR="009017F3" w:rsidRPr="00FA454B" w:rsidRDefault="009017F3" w:rsidP="00FA454B">
            <w:pPr>
              <w:pStyle w:val="ListParagraph"/>
              <w:numPr>
                <w:ilvl w:val="0"/>
                <w:numId w:val="3"/>
              </w:numPr>
              <w:rPr>
                <w:b/>
                <w:sz w:val="24"/>
                <w:szCs w:val="24"/>
              </w:rPr>
            </w:pPr>
            <w:r w:rsidRPr="00FA454B">
              <w:rPr>
                <w:b/>
                <w:sz w:val="24"/>
                <w:szCs w:val="24"/>
              </w:rPr>
              <w:t>Approval of Minutes</w:t>
            </w:r>
          </w:p>
        </w:tc>
        <w:tc>
          <w:tcPr>
            <w:tcW w:w="5012" w:type="dxa"/>
          </w:tcPr>
          <w:p w14:paraId="75EF678D" w14:textId="6D0D0E5F" w:rsidR="00D87610" w:rsidRDefault="005A5DD1" w:rsidP="008F7618">
            <w:r>
              <w:t>W. Ko called for an approval of the minutes. No corrections.</w:t>
            </w:r>
          </w:p>
        </w:tc>
        <w:tc>
          <w:tcPr>
            <w:tcW w:w="2528" w:type="dxa"/>
          </w:tcPr>
          <w:p w14:paraId="06702AA8" w14:textId="77777777" w:rsidR="00351490" w:rsidRDefault="005A5DD1" w:rsidP="00D31153">
            <w:r>
              <w:t xml:space="preserve">Motion by D. Clark to approve the minutes. Seconded by B. </w:t>
            </w:r>
            <w:proofErr w:type="spellStart"/>
            <w:r>
              <w:t>Rayfield</w:t>
            </w:r>
            <w:proofErr w:type="spellEnd"/>
            <w:r>
              <w:t>.</w:t>
            </w:r>
          </w:p>
          <w:p w14:paraId="1C41E98C" w14:textId="352B860C" w:rsidR="005A5DD1" w:rsidRDefault="005A5DD1" w:rsidP="00D31153">
            <w:r>
              <w:t>(5-0)</w:t>
            </w:r>
          </w:p>
        </w:tc>
      </w:tr>
      <w:tr w:rsidR="009017F3" w14:paraId="41C8F396" w14:textId="77777777" w:rsidTr="00374B5F">
        <w:tc>
          <w:tcPr>
            <w:tcW w:w="2265" w:type="dxa"/>
            <w:shd w:val="clear" w:color="auto" w:fill="BDD6EE" w:themeFill="accent1" w:themeFillTint="66"/>
          </w:tcPr>
          <w:p w14:paraId="72A3D3EC" w14:textId="77777777" w:rsidR="009017F3" w:rsidRPr="00877C3F" w:rsidRDefault="009017F3" w:rsidP="008F7618">
            <w:pPr>
              <w:rPr>
                <w:b/>
                <w:sz w:val="24"/>
                <w:szCs w:val="24"/>
              </w:rPr>
            </w:pPr>
          </w:p>
        </w:tc>
        <w:tc>
          <w:tcPr>
            <w:tcW w:w="5012" w:type="dxa"/>
            <w:shd w:val="clear" w:color="auto" w:fill="BDD6EE" w:themeFill="accent1" w:themeFillTint="66"/>
          </w:tcPr>
          <w:p w14:paraId="0D0B940D" w14:textId="77777777" w:rsidR="009017F3" w:rsidRDefault="009017F3" w:rsidP="008F7618"/>
        </w:tc>
        <w:tc>
          <w:tcPr>
            <w:tcW w:w="2528" w:type="dxa"/>
            <w:shd w:val="clear" w:color="auto" w:fill="BDD6EE" w:themeFill="accent1" w:themeFillTint="66"/>
          </w:tcPr>
          <w:p w14:paraId="0E27B00A" w14:textId="77777777" w:rsidR="009017F3" w:rsidRDefault="009017F3" w:rsidP="008F7618"/>
        </w:tc>
      </w:tr>
      <w:tr w:rsidR="009017F3" w14:paraId="6AA5EDA5" w14:textId="77777777" w:rsidTr="00374B5F">
        <w:tc>
          <w:tcPr>
            <w:tcW w:w="2265" w:type="dxa"/>
          </w:tcPr>
          <w:p w14:paraId="49CFEFCD" w14:textId="11921EDB" w:rsidR="009017F3" w:rsidRPr="008521ED" w:rsidRDefault="009017F3" w:rsidP="1C078F83">
            <w:pPr>
              <w:ind w:left="360"/>
            </w:pPr>
          </w:p>
        </w:tc>
        <w:tc>
          <w:tcPr>
            <w:tcW w:w="5012" w:type="dxa"/>
          </w:tcPr>
          <w:p w14:paraId="60061E4C" w14:textId="14D5763B" w:rsidR="00351490" w:rsidRPr="007B4915" w:rsidRDefault="00351490" w:rsidP="1C078F83"/>
        </w:tc>
        <w:tc>
          <w:tcPr>
            <w:tcW w:w="2528" w:type="dxa"/>
          </w:tcPr>
          <w:p w14:paraId="44EAFD9C" w14:textId="55B16590" w:rsidR="009017F3" w:rsidRDefault="009017F3" w:rsidP="00967E2D"/>
        </w:tc>
      </w:tr>
      <w:tr w:rsidR="005F79B1" w14:paraId="4B94D5A5" w14:textId="77777777" w:rsidTr="00374B5F">
        <w:tc>
          <w:tcPr>
            <w:tcW w:w="2265" w:type="dxa"/>
            <w:shd w:val="clear" w:color="auto" w:fill="BDD6EE" w:themeFill="accent1" w:themeFillTint="66"/>
          </w:tcPr>
          <w:p w14:paraId="3DEEC669" w14:textId="77777777" w:rsidR="005F79B1" w:rsidRDefault="005F79B1" w:rsidP="008F7618">
            <w:pPr>
              <w:rPr>
                <w:rFonts w:ascii="Times New Roman" w:eastAsia="Times New Roman" w:hAnsi="Times New Roman" w:cs="Times New Roman"/>
                <w:color w:val="000000"/>
                <w:sz w:val="24"/>
                <w:szCs w:val="24"/>
              </w:rPr>
            </w:pPr>
          </w:p>
        </w:tc>
        <w:tc>
          <w:tcPr>
            <w:tcW w:w="5012" w:type="dxa"/>
            <w:shd w:val="clear" w:color="auto" w:fill="BDD6EE" w:themeFill="accent1" w:themeFillTint="66"/>
          </w:tcPr>
          <w:p w14:paraId="3656B9AB" w14:textId="77777777" w:rsidR="005F79B1" w:rsidRPr="00877C3F" w:rsidRDefault="005F79B1" w:rsidP="008F7618">
            <w:pPr>
              <w:rPr>
                <w:b/>
              </w:rPr>
            </w:pPr>
          </w:p>
        </w:tc>
        <w:tc>
          <w:tcPr>
            <w:tcW w:w="2528" w:type="dxa"/>
            <w:shd w:val="clear" w:color="auto" w:fill="BDD6EE" w:themeFill="accent1" w:themeFillTint="66"/>
          </w:tcPr>
          <w:p w14:paraId="45FB0818" w14:textId="77777777" w:rsidR="005F79B1" w:rsidRDefault="005F79B1" w:rsidP="008F7618"/>
        </w:tc>
      </w:tr>
      <w:tr w:rsidR="009017F3" w14:paraId="2D255667" w14:textId="77777777" w:rsidTr="00374B5F">
        <w:tc>
          <w:tcPr>
            <w:tcW w:w="2265" w:type="dxa"/>
          </w:tcPr>
          <w:p w14:paraId="1299C43A" w14:textId="581A12D1" w:rsidR="009017F3" w:rsidRPr="009673A6" w:rsidRDefault="1A074E58" w:rsidP="008F7618">
            <w:pPr>
              <w:pStyle w:val="ListParagraph"/>
              <w:numPr>
                <w:ilvl w:val="0"/>
                <w:numId w:val="3"/>
              </w:numPr>
              <w:rPr>
                <w:b/>
                <w:bCs/>
                <w:color w:val="000000" w:themeColor="text1"/>
              </w:rPr>
            </w:pPr>
            <w:r w:rsidRPr="1A074E58">
              <w:rPr>
                <w:b/>
                <w:bCs/>
                <w:sz w:val="24"/>
                <w:szCs w:val="24"/>
              </w:rPr>
              <w:t>Review of</w:t>
            </w:r>
            <w:r w:rsidR="005A5DD1">
              <w:rPr>
                <w:b/>
                <w:bCs/>
                <w:sz w:val="24"/>
                <w:szCs w:val="24"/>
              </w:rPr>
              <w:t xml:space="preserve"> Museum Studies Minor</w:t>
            </w:r>
          </w:p>
          <w:p w14:paraId="4DDBEF00" w14:textId="78AB294F" w:rsidR="009017F3" w:rsidRPr="00637E20" w:rsidRDefault="009017F3" w:rsidP="008F7618"/>
        </w:tc>
        <w:tc>
          <w:tcPr>
            <w:tcW w:w="5012" w:type="dxa"/>
          </w:tcPr>
          <w:p w14:paraId="3461D779" w14:textId="4F1C4CD7" w:rsidR="00022204" w:rsidRPr="00FA454B" w:rsidRDefault="005A5DD1" w:rsidP="1A074E58">
            <w:pPr>
              <w:rPr>
                <w:rFonts w:ascii="Calibri" w:eastAsia="Calibri" w:hAnsi="Calibri" w:cs="Calibri"/>
                <w:sz w:val="24"/>
                <w:szCs w:val="24"/>
              </w:rPr>
            </w:pPr>
            <w:r>
              <w:rPr>
                <w:rFonts w:ascii="Calibri" w:eastAsia="Calibri" w:hAnsi="Calibri" w:cs="Calibri"/>
                <w:sz w:val="24"/>
                <w:szCs w:val="24"/>
              </w:rPr>
              <w:t>S. Phillips relayed the general background in favor of this new minor.  The minor has a common core with track depending on a student’s interest.  The Department of Art &amp; Design just hired a person who could offer museum studies.</w:t>
            </w:r>
          </w:p>
        </w:tc>
        <w:tc>
          <w:tcPr>
            <w:tcW w:w="2528" w:type="dxa"/>
          </w:tcPr>
          <w:p w14:paraId="3CF2D8B6" w14:textId="77777777" w:rsidR="009017F3" w:rsidRDefault="009017F3" w:rsidP="008F7618"/>
        </w:tc>
      </w:tr>
      <w:tr w:rsidR="006A4890" w14:paraId="26FCC3A4" w14:textId="77777777" w:rsidTr="00374B5F">
        <w:tc>
          <w:tcPr>
            <w:tcW w:w="2265" w:type="dxa"/>
          </w:tcPr>
          <w:p w14:paraId="7639ACF8" w14:textId="0D3BAFED" w:rsidR="006A4890" w:rsidRPr="1A074E58" w:rsidRDefault="005A5DD1" w:rsidP="008F7618">
            <w:pPr>
              <w:pStyle w:val="ListParagraph"/>
              <w:numPr>
                <w:ilvl w:val="0"/>
                <w:numId w:val="3"/>
              </w:numPr>
              <w:rPr>
                <w:b/>
                <w:bCs/>
                <w:sz w:val="24"/>
                <w:szCs w:val="24"/>
              </w:rPr>
            </w:pPr>
            <w:r>
              <w:rPr>
                <w:b/>
                <w:bCs/>
                <w:sz w:val="24"/>
                <w:szCs w:val="24"/>
              </w:rPr>
              <w:t>Review of Nursing Major-Traditional Track for students entering with RN or LPN</w:t>
            </w:r>
          </w:p>
        </w:tc>
        <w:tc>
          <w:tcPr>
            <w:tcW w:w="5012" w:type="dxa"/>
          </w:tcPr>
          <w:p w14:paraId="56569A91" w14:textId="49B107D8" w:rsidR="006A4890" w:rsidRDefault="005A5DD1" w:rsidP="1A074E58">
            <w:r>
              <w:t xml:space="preserve">M. </w:t>
            </w:r>
            <w:proofErr w:type="spellStart"/>
            <w:r>
              <w:t>Everly</w:t>
            </w:r>
            <w:proofErr w:type="spellEnd"/>
            <w:r>
              <w:t xml:space="preserve"> spoke on behalf of this proposal.  Two courses (309 and 490) are moving from 2 to 3 credit hours.  For NURS 309, M. </w:t>
            </w:r>
            <w:proofErr w:type="spellStart"/>
            <w:r>
              <w:t>Everly</w:t>
            </w:r>
            <w:proofErr w:type="spellEnd"/>
            <w:r>
              <w:t xml:space="preserve"> relayed that students were not receiving enough training on patient assessment.  For NURS 490, the actual workload necessitated the credit hour increase.  Finally, the addition of MATH 241 as a FS course, which is required in the major, freed up 3 credit hours, which then allowed for the overall increase of 2 credit hours for these two courses, with a net credit hour decrease by 1.</w:t>
            </w:r>
          </w:p>
          <w:p w14:paraId="2786C136" w14:textId="77777777" w:rsidR="005A5DD1" w:rsidRDefault="005A5DD1" w:rsidP="1A074E58"/>
          <w:p w14:paraId="1DAD9909" w14:textId="40FD1F92" w:rsidR="005A5DD1" w:rsidRPr="006A4890" w:rsidRDefault="005A5DD1" w:rsidP="1A074E58">
            <w:r>
              <w:t>S. Powers did note that such a savings was contingent on MATH 241 receiving FS approval.</w:t>
            </w:r>
          </w:p>
        </w:tc>
        <w:tc>
          <w:tcPr>
            <w:tcW w:w="2528" w:type="dxa"/>
          </w:tcPr>
          <w:p w14:paraId="27D4BA53" w14:textId="77777777" w:rsidR="006A4890" w:rsidRDefault="006A4890" w:rsidP="008F7618"/>
        </w:tc>
      </w:tr>
      <w:tr w:rsidR="006A4890" w14:paraId="6840E6BF" w14:textId="77777777" w:rsidTr="00374B5F">
        <w:tc>
          <w:tcPr>
            <w:tcW w:w="2265" w:type="dxa"/>
          </w:tcPr>
          <w:p w14:paraId="5EBB7A54" w14:textId="6A17CA55" w:rsidR="006A4890" w:rsidRDefault="005A5DD1" w:rsidP="008F7618">
            <w:pPr>
              <w:pStyle w:val="ListParagraph"/>
              <w:numPr>
                <w:ilvl w:val="0"/>
                <w:numId w:val="3"/>
              </w:numPr>
              <w:rPr>
                <w:b/>
                <w:bCs/>
                <w:sz w:val="24"/>
                <w:szCs w:val="24"/>
              </w:rPr>
            </w:pPr>
            <w:r>
              <w:rPr>
                <w:b/>
                <w:bCs/>
                <w:sz w:val="24"/>
                <w:szCs w:val="24"/>
              </w:rPr>
              <w:t>Review of Nursing Major-</w:t>
            </w:r>
            <w:r>
              <w:rPr>
                <w:b/>
                <w:bCs/>
                <w:sz w:val="24"/>
                <w:szCs w:val="24"/>
              </w:rPr>
              <w:lastRenderedPageBreak/>
              <w:t>Accelerated Second Degree</w:t>
            </w:r>
          </w:p>
        </w:tc>
        <w:tc>
          <w:tcPr>
            <w:tcW w:w="5012" w:type="dxa"/>
          </w:tcPr>
          <w:p w14:paraId="06A668C5" w14:textId="77777777" w:rsidR="006A4890" w:rsidRDefault="006A4890" w:rsidP="006A4890"/>
          <w:p w14:paraId="5950CAF8" w14:textId="1F742DA4" w:rsidR="006A4890" w:rsidRDefault="005A5DD1" w:rsidP="005A5DD1">
            <w:r>
              <w:t xml:space="preserve">M. </w:t>
            </w:r>
            <w:proofErr w:type="spellStart"/>
            <w:r>
              <w:t>Everly</w:t>
            </w:r>
            <w:proofErr w:type="spellEnd"/>
            <w:r>
              <w:t xml:space="preserve"> and L. McQuiston both spoke on behalf of this proposal, which essentially sets forth the same </w:t>
            </w:r>
            <w:r>
              <w:lastRenderedPageBreak/>
              <w:t>changes noted in the previous proposal, the difference only in that with this program the total credit hours required for graduation will increase by 2, since no FS credits are involved.</w:t>
            </w:r>
          </w:p>
        </w:tc>
        <w:tc>
          <w:tcPr>
            <w:tcW w:w="2528" w:type="dxa"/>
          </w:tcPr>
          <w:p w14:paraId="0B877FDD" w14:textId="77777777" w:rsidR="006A4890" w:rsidRDefault="006A4890" w:rsidP="008F7618"/>
        </w:tc>
      </w:tr>
      <w:tr w:rsidR="009673A6" w14:paraId="439A79B6" w14:textId="77777777" w:rsidTr="00374B5F">
        <w:tc>
          <w:tcPr>
            <w:tcW w:w="2265" w:type="dxa"/>
            <w:shd w:val="clear" w:color="auto" w:fill="BDD6EE" w:themeFill="accent1" w:themeFillTint="66"/>
          </w:tcPr>
          <w:p w14:paraId="1DCE8CDC" w14:textId="7376CC62" w:rsidR="009673A6" w:rsidRPr="00FA454B" w:rsidRDefault="009673A6" w:rsidP="1C078F83">
            <w:pPr>
              <w:ind w:left="360"/>
              <w:rPr>
                <w:rFonts w:eastAsia="Times New Roman" w:cs="Times New Roman"/>
                <w:b/>
                <w:bCs/>
                <w:color w:val="000000" w:themeColor="text1"/>
              </w:rPr>
            </w:pPr>
          </w:p>
        </w:tc>
        <w:tc>
          <w:tcPr>
            <w:tcW w:w="5012" w:type="dxa"/>
            <w:shd w:val="clear" w:color="auto" w:fill="BDD6EE" w:themeFill="accent1" w:themeFillTint="66"/>
          </w:tcPr>
          <w:p w14:paraId="0FB78278" w14:textId="59F88F4E" w:rsidR="009673A6" w:rsidRDefault="009673A6" w:rsidP="1A074E58">
            <w:pPr>
              <w:rPr>
                <w:rFonts w:ascii="Calibri" w:eastAsia="Calibri" w:hAnsi="Calibri" w:cs="Calibri"/>
                <w:sz w:val="24"/>
                <w:szCs w:val="24"/>
              </w:rPr>
            </w:pPr>
          </w:p>
        </w:tc>
        <w:tc>
          <w:tcPr>
            <w:tcW w:w="2528" w:type="dxa"/>
            <w:shd w:val="clear" w:color="auto" w:fill="BDD6EE" w:themeFill="accent1" w:themeFillTint="66"/>
          </w:tcPr>
          <w:p w14:paraId="1FC39945" w14:textId="77777777" w:rsidR="009673A6" w:rsidRDefault="009673A6" w:rsidP="008F7618"/>
        </w:tc>
      </w:tr>
      <w:tr w:rsidR="00374B5F" w14:paraId="0562CB0E" w14:textId="77777777" w:rsidTr="00374B5F">
        <w:tc>
          <w:tcPr>
            <w:tcW w:w="2265" w:type="dxa"/>
          </w:tcPr>
          <w:p w14:paraId="34CE0A41" w14:textId="2E26510B" w:rsidR="00374B5F" w:rsidRPr="00E70ECD" w:rsidRDefault="00374B5F" w:rsidP="00374B5F">
            <w:pPr>
              <w:pStyle w:val="ListParagraph"/>
              <w:numPr>
                <w:ilvl w:val="0"/>
                <w:numId w:val="3"/>
              </w:numPr>
              <w:rPr>
                <w:rFonts w:eastAsia="Times New Roman" w:cs="Times New Roman"/>
                <w:b/>
                <w:color w:val="000000"/>
              </w:rPr>
            </w:pPr>
            <w:r w:rsidRPr="005A5DD1">
              <w:rPr>
                <w:b/>
                <w:bCs/>
              </w:rPr>
              <w:t>Executive Committee Report</w:t>
            </w:r>
          </w:p>
        </w:tc>
        <w:tc>
          <w:tcPr>
            <w:tcW w:w="5012" w:type="dxa"/>
          </w:tcPr>
          <w:p w14:paraId="453F1315" w14:textId="77777777" w:rsidR="00A234A5" w:rsidRDefault="00374B5F" w:rsidP="00374B5F">
            <w:r>
              <w:t xml:space="preserve">S. Phillips addressed that the Senate Exec. </w:t>
            </w:r>
            <w:proofErr w:type="gramStart"/>
            <w:r>
              <w:t>brought</w:t>
            </w:r>
            <w:proofErr w:type="gramEnd"/>
            <w:r>
              <w:t xml:space="preserve"> up the issue of language related to the problem of prohibiting students from taking minors wholly within their own majors, noting that Provost </w:t>
            </w:r>
            <w:proofErr w:type="spellStart"/>
            <w:r>
              <w:t>Lacari</w:t>
            </w:r>
            <w:proofErr w:type="spellEnd"/>
            <w:r>
              <w:t xml:space="preserve"> requested that Associate Deans review the issue to survey where in the curriculum this issue might be appropriate.</w:t>
            </w:r>
          </w:p>
          <w:p w14:paraId="6CE7F4AB" w14:textId="77777777" w:rsidR="00A234A5" w:rsidRDefault="00A234A5" w:rsidP="00374B5F"/>
          <w:p w14:paraId="50D9583E" w14:textId="77777777" w:rsidR="00A234A5" w:rsidRDefault="00A234A5" w:rsidP="00374B5F">
            <w:r>
              <w:t>J. Kinne raised the issue of how best to enforce this mandate.</w:t>
            </w:r>
          </w:p>
          <w:p w14:paraId="57046BF6" w14:textId="77777777" w:rsidR="00A234A5" w:rsidRDefault="00A234A5" w:rsidP="00374B5F"/>
          <w:p w14:paraId="27C60DBE" w14:textId="77777777" w:rsidR="00A234A5" w:rsidRDefault="00A234A5" w:rsidP="00374B5F">
            <w:r>
              <w:t xml:space="preserve">S. Power noted that in addition to a catalog change that CAAC could alter the CAPS manual.  </w:t>
            </w:r>
            <w:proofErr w:type="gramStart"/>
            <w:r>
              <w:t>This  initiated</w:t>
            </w:r>
            <w:proofErr w:type="gramEnd"/>
            <w:r>
              <w:t xml:space="preserve"> several questions and discussion.</w:t>
            </w:r>
          </w:p>
          <w:p w14:paraId="3F78FA57" w14:textId="77777777" w:rsidR="00A234A5" w:rsidRDefault="00A234A5" w:rsidP="00374B5F"/>
          <w:p w14:paraId="1CA7A86D" w14:textId="77777777" w:rsidR="00A234A5" w:rsidRDefault="00A234A5" w:rsidP="00374B5F">
            <w:r>
              <w:t>K. Wilkerson suggested ultimately that it should be a catalog change.</w:t>
            </w:r>
          </w:p>
          <w:p w14:paraId="65F850E7" w14:textId="77777777" w:rsidR="00A234A5" w:rsidRDefault="00A234A5" w:rsidP="00374B5F"/>
          <w:p w14:paraId="29CFF757" w14:textId="77777777" w:rsidR="00A234A5" w:rsidRDefault="00A234A5" w:rsidP="00374B5F">
            <w:r>
              <w:t>J. Kinne suggested charging Associate Dean’s with passing along to chairs the necessity of inserting language regarding minors at the earliest convenience when addressing curricular change.</w:t>
            </w:r>
          </w:p>
          <w:p w14:paraId="7020A100" w14:textId="77777777" w:rsidR="00A234A5" w:rsidRDefault="00A234A5" w:rsidP="00374B5F"/>
          <w:p w14:paraId="62EBF3C5" w14:textId="187E33F1" w:rsidR="00A234A5" w:rsidRDefault="00A234A5" w:rsidP="00374B5F">
            <w:r>
              <w:t>Ultimately general resolve to ask colleges for a list of minors and certificates with 100% overlap with majors.</w:t>
            </w:r>
          </w:p>
        </w:tc>
        <w:tc>
          <w:tcPr>
            <w:tcW w:w="2528" w:type="dxa"/>
          </w:tcPr>
          <w:p w14:paraId="6D98A12B" w14:textId="44EF94C4" w:rsidR="00374B5F" w:rsidRDefault="00374B5F" w:rsidP="00374B5F"/>
        </w:tc>
      </w:tr>
      <w:tr w:rsidR="00374B5F" w14:paraId="242E4A8F" w14:textId="77777777" w:rsidTr="00374B5F">
        <w:tc>
          <w:tcPr>
            <w:tcW w:w="2265" w:type="dxa"/>
            <w:shd w:val="clear" w:color="auto" w:fill="BDD6EE" w:themeFill="accent1" w:themeFillTint="66"/>
          </w:tcPr>
          <w:p w14:paraId="52E56223" w14:textId="77777777" w:rsidR="00374B5F" w:rsidRPr="00022204" w:rsidRDefault="00374B5F" w:rsidP="00374B5F"/>
        </w:tc>
        <w:tc>
          <w:tcPr>
            <w:tcW w:w="5012" w:type="dxa"/>
            <w:shd w:val="clear" w:color="auto" w:fill="BDD6EE" w:themeFill="accent1" w:themeFillTint="66"/>
          </w:tcPr>
          <w:p w14:paraId="6DFB9E20" w14:textId="77777777" w:rsidR="00374B5F" w:rsidRDefault="00374B5F" w:rsidP="00374B5F"/>
        </w:tc>
        <w:tc>
          <w:tcPr>
            <w:tcW w:w="2528" w:type="dxa"/>
            <w:shd w:val="clear" w:color="auto" w:fill="BDD6EE" w:themeFill="accent1" w:themeFillTint="66"/>
          </w:tcPr>
          <w:p w14:paraId="1DB5DCFB" w14:textId="15B9EFC6" w:rsidR="00374B5F" w:rsidRDefault="00374B5F" w:rsidP="00374B5F"/>
        </w:tc>
      </w:tr>
      <w:tr w:rsidR="00374B5F" w14:paraId="738610EB" w14:textId="77777777" w:rsidTr="00374B5F">
        <w:tc>
          <w:tcPr>
            <w:tcW w:w="2265" w:type="dxa"/>
          </w:tcPr>
          <w:p w14:paraId="637805D2" w14:textId="25DB8328" w:rsidR="00374B5F" w:rsidRPr="005A5DD1" w:rsidRDefault="00374B5F" w:rsidP="00374B5F">
            <w:pPr>
              <w:pStyle w:val="ListParagraph"/>
              <w:numPr>
                <w:ilvl w:val="0"/>
                <w:numId w:val="3"/>
              </w:numPr>
              <w:rPr>
                <w:b/>
              </w:rPr>
            </w:pPr>
            <w:r>
              <w:rPr>
                <w:b/>
              </w:rPr>
              <w:t>Chair’s Report</w:t>
            </w:r>
          </w:p>
        </w:tc>
        <w:tc>
          <w:tcPr>
            <w:tcW w:w="5012" w:type="dxa"/>
          </w:tcPr>
          <w:p w14:paraId="463F29E8" w14:textId="408C2E59" w:rsidR="00374B5F" w:rsidRDefault="00374B5F" w:rsidP="00374B5F">
            <w:r>
              <w:t>NA</w:t>
            </w:r>
          </w:p>
        </w:tc>
        <w:tc>
          <w:tcPr>
            <w:tcW w:w="2528" w:type="dxa"/>
          </w:tcPr>
          <w:p w14:paraId="3B7B4B86" w14:textId="7B0F6F8C" w:rsidR="00374B5F" w:rsidRDefault="00374B5F" w:rsidP="00374B5F"/>
        </w:tc>
      </w:tr>
      <w:tr w:rsidR="00374B5F" w14:paraId="627F0DBB" w14:textId="77777777" w:rsidTr="00374B5F">
        <w:tc>
          <w:tcPr>
            <w:tcW w:w="2265" w:type="dxa"/>
            <w:shd w:val="clear" w:color="auto" w:fill="BDD6EE" w:themeFill="accent1" w:themeFillTint="66"/>
          </w:tcPr>
          <w:p w14:paraId="5E258089" w14:textId="1EA8932C" w:rsidR="00374B5F" w:rsidRPr="00E70ECD" w:rsidRDefault="00374B5F" w:rsidP="00374B5F">
            <w:pPr>
              <w:rPr>
                <w:b/>
                <w:bCs/>
              </w:rPr>
            </w:pPr>
          </w:p>
        </w:tc>
        <w:tc>
          <w:tcPr>
            <w:tcW w:w="5012" w:type="dxa"/>
            <w:shd w:val="clear" w:color="auto" w:fill="BDD6EE" w:themeFill="accent1" w:themeFillTint="66"/>
          </w:tcPr>
          <w:p w14:paraId="5AA6B9DB" w14:textId="4422CB7C" w:rsidR="00374B5F" w:rsidRDefault="00374B5F" w:rsidP="00374B5F"/>
        </w:tc>
        <w:tc>
          <w:tcPr>
            <w:tcW w:w="2528" w:type="dxa"/>
            <w:shd w:val="clear" w:color="auto" w:fill="BDD6EE" w:themeFill="accent1" w:themeFillTint="66"/>
          </w:tcPr>
          <w:p w14:paraId="3A0FF5F2" w14:textId="05E53F59" w:rsidR="00374B5F" w:rsidRDefault="00374B5F" w:rsidP="00374B5F"/>
        </w:tc>
      </w:tr>
      <w:tr w:rsidR="00374B5F" w14:paraId="5630AD66" w14:textId="77777777" w:rsidTr="00374B5F">
        <w:tc>
          <w:tcPr>
            <w:tcW w:w="2265" w:type="dxa"/>
          </w:tcPr>
          <w:p w14:paraId="61829076" w14:textId="4CF29F41" w:rsidR="00374B5F" w:rsidRPr="00E70ECD" w:rsidRDefault="00374B5F" w:rsidP="00374B5F">
            <w:pPr>
              <w:pStyle w:val="ListParagraph"/>
              <w:numPr>
                <w:ilvl w:val="0"/>
                <w:numId w:val="3"/>
              </w:numPr>
              <w:rPr>
                <w:b/>
              </w:rPr>
            </w:pPr>
            <w:r w:rsidRPr="00E70ECD">
              <w:rPr>
                <w:b/>
                <w:bCs/>
              </w:rPr>
              <w:t>Old Business</w:t>
            </w:r>
          </w:p>
        </w:tc>
        <w:tc>
          <w:tcPr>
            <w:tcW w:w="5012" w:type="dxa"/>
          </w:tcPr>
          <w:p w14:paraId="33198BA1" w14:textId="40AB6103" w:rsidR="00374B5F" w:rsidRDefault="00374B5F" w:rsidP="00374B5F">
            <w:r>
              <w:t>NA</w:t>
            </w:r>
          </w:p>
          <w:p w14:paraId="2BA226A1" w14:textId="77777777" w:rsidR="00374B5F" w:rsidRDefault="00374B5F" w:rsidP="00374B5F"/>
        </w:tc>
        <w:tc>
          <w:tcPr>
            <w:tcW w:w="2528" w:type="dxa"/>
          </w:tcPr>
          <w:p w14:paraId="17AD93B2" w14:textId="57AEE27E" w:rsidR="00374B5F" w:rsidRDefault="00374B5F" w:rsidP="00374B5F"/>
        </w:tc>
      </w:tr>
      <w:tr w:rsidR="00374B5F" w14:paraId="6481C582" w14:textId="77777777" w:rsidTr="00374B5F">
        <w:tc>
          <w:tcPr>
            <w:tcW w:w="2265" w:type="dxa"/>
            <w:shd w:val="clear" w:color="auto" w:fill="BDD6EE" w:themeFill="accent1" w:themeFillTint="66"/>
          </w:tcPr>
          <w:p w14:paraId="213A52DA" w14:textId="24291F00" w:rsidR="00374B5F" w:rsidRPr="00E70ECD" w:rsidRDefault="00374B5F" w:rsidP="00374B5F">
            <w:pPr>
              <w:rPr>
                <w:b/>
                <w:bCs/>
              </w:rPr>
            </w:pPr>
          </w:p>
        </w:tc>
        <w:tc>
          <w:tcPr>
            <w:tcW w:w="5012" w:type="dxa"/>
            <w:shd w:val="clear" w:color="auto" w:fill="BDD6EE" w:themeFill="accent1" w:themeFillTint="66"/>
          </w:tcPr>
          <w:p w14:paraId="39609875" w14:textId="20532686" w:rsidR="00374B5F" w:rsidRDefault="00374B5F" w:rsidP="00374B5F"/>
        </w:tc>
        <w:tc>
          <w:tcPr>
            <w:tcW w:w="2528" w:type="dxa"/>
            <w:shd w:val="clear" w:color="auto" w:fill="BDD6EE" w:themeFill="accent1" w:themeFillTint="66"/>
          </w:tcPr>
          <w:p w14:paraId="0DE4B5B7" w14:textId="5897095B" w:rsidR="00374B5F" w:rsidRDefault="00374B5F" w:rsidP="00374B5F"/>
        </w:tc>
      </w:tr>
      <w:tr w:rsidR="00374B5F" w14:paraId="66204FF1" w14:textId="77777777" w:rsidTr="00374B5F">
        <w:tc>
          <w:tcPr>
            <w:tcW w:w="2265" w:type="dxa"/>
          </w:tcPr>
          <w:p w14:paraId="2DBF0D7D" w14:textId="354ED767" w:rsidR="00374B5F" w:rsidRPr="00E70ECD" w:rsidRDefault="00374B5F" w:rsidP="00374B5F">
            <w:pPr>
              <w:rPr>
                <w:b/>
              </w:rPr>
            </w:pPr>
            <w:r w:rsidRPr="00E70ECD">
              <w:rPr>
                <w:b/>
                <w:bCs/>
              </w:rPr>
              <w:t>Adjournment</w:t>
            </w:r>
          </w:p>
        </w:tc>
        <w:tc>
          <w:tcPr>
            <w:tcW w:w="5012" w:type="dxa"/>
          </w:tcPr>
          <w:p w14:paraId="6B62F1B3" w14:textId="30B4696A" w:rsidR="00374B5F" w:rsidRDefault="00374B5F" w:rsidP="00374B5F">
            <w:r>
              <w:t>Meeting adjourned  12:50pm</w:t>
            </w:r>
          </w:p>
        </w:tc>
        <w:tc>
          <w:tcPr>
            <w:tcW w:w="2528" w:type="dxa"/>
          </w:tcPr>
          <w:p w14:paraId="1F5C4F15" w14:textId="404DA7DB" w:rsidR="00374B5F" w:rsidRDefault="00374B5F" w:rsidP="00374B5F">
            <w:r>
              <w:t>Motion by Jeff, second Edith.</w:t>
            </w:r>
          </w:p>
          <w:p w14:paraId="02F2C34E" w14:textId="77777777" w:rsidR="00374B5F" w:rsidRDefault="00374B5F" w:rsidP="00374B5F"/>
        </w:tc>
      </w:tr>
      <w:tr w:rsidR="00374B5F" w14:paraId="362DD996" w14:textId="77777777" w:rsidTr="00374B5F">
        <w:tc>
          <w:tcPr>
            <w:tcW w:w="2265" w:type="dxa"/>
          </w:tcPr>
          <w:p w14:paraId="0B7F62C4" w14:textId="7B33EE8D" w:rsidR="00374B5F" w:rsidRPr="00E70ECD" w:rsidRDefault="00374B5F" w:rsidP="00374B5F">
            <w:pPr>
              <w:rPr>
                <w:b/>
                <w:bCs/>
              </w:rPr>
            </w:pPr>
          </w:p>
        </w:tc>
        <w:tc>
          <w:tcPr>
            <w:tcW w:w="5012" w:type="dxa"/>
          </w:tcPr>
          <w:p w14:paraId="3F9E6051" w14:textId="6F78752B" w:rsidR="00374B5F" w:rsidRDefault="00374B5F" w:rsidP="00374B5F"/>
        </w:tc>
        <w:tc>
          <w:tcPr>
            <w:tcW w:w="2528" w:type="dxa"/>
          </w:tcPr>
          <w:p w14:paraId="5A7C8996" w14:textId="44FE3925" w:rsidR="00374B5F" w:rsidRDefault="00374B5F" w:rsidP="00374B5F"/>
        </w:tc>
      </w:tr>
    </w:tbl>
    <w:p w14:paraId="680A4E5D" w14:textId="77777777" w:rsidR="009017F3" w:rsidRPr="009017F3" w:rsidRDefault="009017F3" w:rsidP="009017F3"/>
    <w:sectPr w:rsidR="009017F3" w:rsidRPr="009017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9F2CF" w14:textId="77777777" w:rsidR="00D16230" w:rsidRDefault="00D16230" w:rsidP="000F6CD0">
      <w:pPr>
        <w:spacing w:after="0" w:line="240" w:lineRule="auto"/>
      </w:pPr>
      <w:r>
        <w:separator/>
      </w:r>
    </w:p>
  </w:endnote>
  <w:endnote w:type="continuationSeparator" w:id="0">
    <w:p w14:paraId="576AFF3A" w14:textId="77777777" w:rsidR="00D16230" w:rsidRDefault="00D16230" w:rsidP="000F6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serif">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005C2" w14:textId="77777777" w:rsidR="00D16230" w:rsidRDefault="00D16230" w:rsidP="000F6CD0">
      <w:pPr>
        <w:spacing w:after="0" w:line="240" w:lineRule="auto"/>
      </w:pPr>
      <w:r>
        <w:separator/>
      </w:r>
    </w:p>
  </w:footnote>
  <w:footnote w:type="continuationSeparator" w:id="0">
    <w:p w14:paraId="1D8D07B0" w14:textId="77777777" w:rsidR="00D16230" w:rsidRDefault="00D16230" w:rsidP="000F6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2F1F" w14:textId="77777777" w:rsidR="008B0D75" w:rsidRDefault="008B0D75">
    <w:pPr>
      <w:pStyle w:val="Header"/>
    </w:pPr>
    <w:r>
      <w:t xml:space="preserve">                                                                                                                                                                   </w:t>
    </w:r>
    <w:proofErr w:type="gramStart"/>
    <w:r>
      <w:t>unapproved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41CD"/>
    <w:multiLevelType w:val="hybridMultilevel"/>
    <w:tmpl w:val="6D20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1C61"/>
    <w:multiLevelType w:val="hybridMultilevel"/>
    <w:tmpl w:val="856E399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E4672"/>
    <w:multiLevelType w:val="hybridMultilevel"/>
    <w:tmpl w:val="DF58B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7F5E96"/>
    <w:multiLevelType w:val="hybridMultilevel"/>
    <w:tmpl w:val="7F6A7996"/>
    <w:lvl w:ilvl="0" w:tplc="384E867A">
      <w:start w:val="1"/>
      <w:numFmt w:val="decimal"/>
      <w:lvlText w:val="%1)"/>
      <w:lvlJc w:val="left"/>
      <w:pPr>
        <w:ind w:left="720" w:hanging="360"/>
      </w:pPr>
      <w:rPr>
        <w:rFonts w:ascii="Times New Roman ,serif" w:hAnsi="Times New Roman ,serif" w:cs="Times New Roman ,serif"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A0243"/>
    <w:multiLevelType w:val="hybridMultilevel"/>
    <w:tmpl w:val="BD52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04231"/>
    <w:multiLevelType w:val="hybridMultilevel"/>
    <w:tmpl w:val="76AC4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F3"/>
    <w:rsid w:val="00000F82"/>
    <w:rsid w:val="00012380"/>
    <w:rsid w:val="00017E93"/>
    <w:rsid w:val="00022204"/>
    <w:rsid w:val="000561E0"/>
    <w:rsid w:val="000856DA"/>
    <w:rsid w:val="000A4AA6"/>
    <w:rsid w:val="000A66E9"/>
    <w:rsid w:val="000C0034"/>
    <w:rsid w:val="000D27D6"/>
    <w:rsid w:val="000F6CD0"/>
    <w:rsid w:val="00151968"/>
    <w:rsid w:val="00166088"/>
    <w:rsid w:val="001973F4"/>
    <w:rsid w:val="001A28F0"/>
    <w:rsid w:val="001C1858"/>
    <w:rsid w:val="001C3488"/>
    <w:rsid w:val="001C4F2F"/>
    <w:rsid w:val="001D7500"/>
    <w:rsid w:val="001E411B"/>
    <w:rsid w:val="0022031A"/>
    <w:rsid w:val="00253FCC"/>
    <w:rsid w:val="00276177"/>
    <w:rsid w:val="002B411B"/>
    <w:rsid w:val="002D0103"/>
    <w:rsid w:val="002E6364"/>
    <w:rsid w:val="003012FE"/>
    <w:rsid w:val="003134F5"/>
    <w:rsid w:val="00351490"/>
    <w:rsid w:val="00364264"/>
    <w:rsid w:val="00364EBA"/>
    <w:rsid w:val="00374B5F"/>
    <w:rsid w:val="003812D1"/>
    <w:rsid w:val="0038538E"/>
    <w:rsid w:val="003B65EC"/>
    <w:rsid w:val="003E11FD"/>
    <w:rsid w:val="003E41C6"/>
    <w:rsid w:val="004014F1"/>
    <w:rsid w:val="00407B02"/>
    <w:rsid w:val="00455410"/>
    <w:rsid w:val="00464D63"/>
    <w:rsid w:val="004D4025"/>
    <w:rsid w:val="004F0223"/>
    <w:rsid w:val="004F309C"/>
    <w:rsid w:val="0050097A"/>
    <w:rsid w:val="005169A8"/>
    <w:rsid w:val="0053490F"/>
    <w:rsid w:val="0057452D"/>
    <w:rsid w:val="00584894"/>
    <w:rsid w:val="005A5DD1"/>
    <w:rsid w:val="005F79B1"/>
    <w:rsid w:val="00645174"/>
    <w:rsid w:val="00655FE8"/>
    <w:rsid w:val="006576C1"/>
    <w:rsid w:val="006A4890"/>
    <w:rsid w:val="006F026C"/>
    <w:rsid w:val="006F44F9"/>
    <w:rsid w:val="0071310B"/>
    <w:rsid w:val="00747BEE"/>
    <w:rsid w:val="0076404E"/>
    <w:rsid w:val="007A2DC7"/>
    <w:rsid w:val="00835AA1"/>
    <w:rsid w:val="00897AA3"/>
    <w:rsid w:val="008B0D75"/>
    <w:rsid w:val="008C36E6"/>
    <w:rsid w:val="008E4388"/>
    <w:rsid w:val="008F7618"/>
    <w:rsid w:val="009017F3"/>
    <w:rsid w:val="00927325"/>
    <w:rsid w:val="00936ACA"/>
    <w:rsid w:val="00963EA6"/>
    <w:rsid w:val="009673A6"/>
    <w:rsid w:val="00967E2D"/>
    <w:rsid w:val="00995780"/>
    <w:rsid w:val="009A37AE"/>
    <w:rsid w:val="009C0400"/>
    <w:rsid w:val="009D303D"/>
    <w:rsid w:val="00A162A6"/>
    <w:rsid w:val="00A234A5"/>
    <w:rsid w:val="00A80FC4"/>
    <w:rsid w:val="00A830E0"/>
    <w:rsid w:val="00A9516D"/>
    <w:rsid w:val="00AC76C2"/>
    <w:rsid w:val="00AE635A"/>
    <w:rsid w:val="00C15BAA"/>
    <w:rsid w:val="00C166F7"/>
    <w:rsid w:val="00CD2D2D"/>
    <w:rsid w:val="00CE152A"/>
    <w:rsid w:val="00CE4364"/>
    <w:rsid w:val="00D154C4"/>
    <w:rsid w:val="00D16230"/>
    <w:rsid w:val="00D17D86"/>
    <w:rsid w:val="00D31153"/>
    <w:rsid w:val="00D34E94"/>
    <w:rsid w:val="00D46A5E"/>
    <w:rsid w:val="00D520F6"/>
    <w:rsid w:val="00D6367E"/>
    <w:rsid w:val="00D87610"/>
    <w:rsid w:val="00DC141D"/>
    <w:rsid w:val="00DD6FA3"/>
    <w:rsid w:val="00E17628"/>
    <w:rsid w:val="00E22D61"/>
    <w:rsid w:val="00E24EE6"/>
    <w:rsid w:val="00E57DA4"/>
    <w:rsid w:val="00E63ABC"/>
    <w:rsid w:val="00E70ECD"/>
    <w:rsid w:val="00E95AC2"/>
    <w:rsid w:val="00E968C2"/>
    <w:rsid w:val="00EB6292"/>
    <w:rsid w:val="00EC4256"/>
    <w:rsid w:val="00F21AA0"/>
    <w:rsid w:val="00F47433"/>
    <w:rsid w:val="00F47550"/>
    <w:rsid w:val="00F90252"/>
    <w:rsid w:val="00FA07FF"/>
    <w:rsid w:val="00FA454B"/>
    <w:rsid w:val="00FB4F82"/>
    <w:rsid w:val="00FC467E"/>
    <w:rsid w:val="00FF454E"/>
    <w:rsid w:val="081EA8A9"/>
    <w:rsid w:val="1A074E58"/>
    <w:rsid w:val="1C078F83"/>
    <w:rsid w:val="55199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60D6"/>
  <w15:chartTrackingRefBased/>
  <w15:docId w15:val="{E5E93E4B-0E95-4FBB-8F15-84534860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7F3"/>
    <w:pPr>
      <w:ind w:left="720"/>
      <w:contextualSpacing/>
    </w:pPr>
  </w:style>
  <w:style w:type="paragraph" w:styleId="Header">
    <w:name w:val="header"/>
    <w:basedOn w:val="Normal"/>
    <w:link w:val="HeaderChar"/>
    <w:uiPriority w:val="99"/>
    <w:unhideWhenUsed/>
    <w:rsid w:val="000F6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CD0"/>
  </w:style>
  <w:style w:type="paragraph" w:styleId="Footer">
    <w:name w:val="footer"/>
    <w:basedOn w:val="Normal"/>
    <w:link w:val="FooterChar"/>
    <w:uiPriority w:val="99"/>
    <w:unhideWhenUsed/>
    <w:rsid w:val="000F6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0109">
      <w:bodyDiv w:val="1"/>
      <w:marLeft w:val="0"/>
      <w:marRight w:val="0"/>
      <w:marTop w:val="0"/>
      <w:marBottom w:val="0"/>
      <w:divBdr>
        <w:top w:val="none" w:sz="0" w:space="0" w:color="auto"/>
        <w:left w:val="none" w:sz="0" w:space="0" w:color="auto"/>
        <w:bottom w:val="none" w:sz="0" w:space="0" w:color="auto"/>
        <w:right w:val="none" w:sz="0" w:space="0" w:color="auto"/>
      </w:divBdr>
    </w:div>
    <w:div w:id="376005710">
      <w:bodyDiv w:val="1"/>
      <w:marLeft w:val="0"/>
      <w:marRight w:val="0"/>
      <w:marTop w:val="0"/>
      <w:marBottom w:val="0"/>
      <w:divBdr>
        <w:top w:val="none" w:sz="0" w:space="0" w:color="auto"/>
        <w:left w:val="none" w:sz="0" w:space="0" w:color="auto"/>
        <w:bottom w:val="none" w:sz="0" w:space="0" w:color="auto"/>
        <w:right w:val="none" w:sz="0" w:space="0" w:color="auto"/>
      </w:divBdr>
    </w:div>
    <w:div w:id="584151169">
      <w:bodyDiv w:val="1"/>
      <w:marLeft w:val="0"/>
      <w:marRight w:val="0"/>
      <w:marTop w:val="0"/>
      <w:marBottom w:val="0"/>
      <w:divBdr>
        <w:top w:val="none" w:sz="0" w:space="0" w:color="auto"/>
        <w:left w:val="none" w:sz="0" w:space="0" w:color="auto"/>
        <w:bottom w:val="none" w:sz="0" w:space="0" w:color="auto"/>
        <w:right w:val="none" w:sz="0" w:space="0" w:color="auto"/>
      </w:divBdr>
    </w:div>
    <w:div w:id="719790217">
      <w:bodyDiv w:val="1"/>
      <w:marLeft w:val="0"/>
      <w:marRight w:val="0"/>
      <w:marTop w:val="0"/>
      <w:marBottom w:val="0"/>
      <w:divBdr>
        <w:top w:val="none" w:sz="0" w:space="0" w:color="auto"/>
        <w:left w:val="none" w:sz="0" w:space="0" w:color="auto"/>
        <w:bottom w:val="none" w:sz="0" w:space="0" w:color="auto"/>
        <w:right w:val="none" w:sz="0" w:space="0" w:color="auto"/>
      </w:divBdr>
    </w:div>
    <w:div w:id="1049763460">
      <w:bodyDiv w:val="1"/>
      <w:marLeft w:val="0"/>
      <w:marRight w:val="0"/>
      <w:marTop w:val="0"/>
      <w:marBottom w:val="0"/>
      <w:divBdr>
        <w:top w:val="none" w:sz="0" w:space="0" w:color="auto"/>
        <w:left w:val="none" w:sz="0" w:space="0" w:color="auto"/>
        <w:bottom w:val="none" w:sz="0" w:space="0" w:color="auto"/>
        <w:right w:val="none" w:sz="0" w:space="0" w:color="auto"/>
      </w:divBdr>
    </w:div>
    <w:div w:id="1339700988">
      <w:bodyDiv w:val="1"/>
      <w:marLeft w:val="0"/>
      <w:marRight w:val="0"/>
      <w:marTop w:val="0"/>
      <w:marBottom w:val="0"/>
      <w:divBdr>
        <w:top w:val="none" w:sz="0" w:space="0" w:color="auto"/>
        <w:left w:val="none" w:sz="0" w:space="0" w:color="auto"/>
        <w:bottom w:val="none" w:sz="0" w:space="0" w:color="auto"/>
        <w:right w:val="none" w:sz="0" w:space="0" w:color="auto"/>
      </w:divBdr>
    </w:div>
    <w:div w:id="1385328547">
      <w:bodyDiv w:val="1"/>
      <w:marLeft w:val="0"/>
      <w:marRight w:val="0"/>
      <w:marTop w:val="0"/>
      <w:marBottom w:val="0"/>
      <w:divBdr>
        <w:top w:val="none" w:sz="0" w:space="0" w:color="auto"/>
        <w:left w:val="none" w:sz="0" w:space="0" w:color="auto"/>
        <w:bottom w:val="none" w:sz="0" w:space="0" w:color="auto"/>
        <w:right w:val="none" w:sz="0" w:space="0" w:color="auto"/>
      </w:divBdr>
    </w:div>
    <w:div w:id="1817068568">
      <w:bodyDiv w:val="1"/>
      <w:marLeft w:val="0"/>
      <w:marRight w:val="0"/>
      <w:marTop w:val="0"/>
      <w:marBottom w:val="0"/>
      <w:divBdr>
        <w:top w:val="none" w:sz="0" w:space="0" w:color="auto"/>
        <w:left w:val="none" w:sz="0" w:space="0" w:color="auto"/>
        <w:bottom w:val="none" w:sz="0" w:space="0" w:color="auto"/>
        <w:right w:val="none" w:sz="0" w:space="0" w:color="auto"/>
      </w:divBdr>
    </w:div>
    <w:div w:id="1825395777">
      <w:bodyDiv w:val="1"/>
      <w:marLeft w:val="0"/>
      <w:marRight w:val="0"/>
      <w:marTop w:val="0"/>
      <w:marBottom w:val="0"/>
      <w:divBdr>
        <w:top w:val="none" w:sz="0" w:space="0" w:color="auto"/>
        <w:left w:val="none" w:sz="0" w:space="0" w:color="auto"/>
        <w:bottom w:val="none" w:sz="0" w:space="0" w:color="auto"/>
        <w:right w:val="none" w:sz="0" w:space="0" w:color="auto"/>
      </w:divBdr>
    </w:div>
    <w:div w:id="201355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81DDD6714934EA431F3E7FFBD01B6" ma:contentTypeVersion="4" ma:contentTypeDescription="Create a new document." ma:contentTypeScope="" ma:versionID="0457ec0d136cfedcb7f19e216f57bc53">
  <xsd:schema xmlns:xsd="http://www.w3.org/2001/XMLSchema" xmlns:xs="http://www.w3.org/2001/XMLSchema" xmlns:p="http://schemas.microsoft.com/office/2006/metadata/properties" xmlns:ns3="baf45800-202a-4d04-9eb1-dcead2d857c9" targetNamespace="http://schemas.microsoft.com/office/2006/metadata/properties" ma:root="true" ma:fieldsID="64d632f0045b81c61aed4b9689b767c0" ns3:_="">
    <xsd:import namespace="baf45800-202a-4d04-9eb1-dcead2d857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45800-202a-4d04-9eb1-dcead2d85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A1D57-5144-4C81-98B4-5DB039FEB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45800-202a-4d04-9eb1-dcead2d8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ED619D-3713-4FB9-B838-6EEB7573B30D}">
  <ds:schemaRefs>
    <ds:schemaRef ds:uri="http://schemas.microsoft.com/sharepoint/v3/contenttype/forms"/>
  </ds:schemaRefs>
</ds:datastoreItem>
</file>

<file path=customXml/itemProps3.xml><?xml version="1.0" encoding="utf-8"?>
<ds:datastoreItem xmlns:ds="http://schemas.openxmlformats.org/officeDocument/2006/customXml" ds:itemID="{80CD00CD-7359-4866-AB60-556F8D8E6319}">
  <ds:schemaRefs>
    <ds:schemaRef ds:uri="http://schemas.microsoft.com/office/2006/metadata/properties"/>
    <ds:schemaRef ds:uri="http://schemas.microsoft.com/office/2006/documentManagement/types"/>
    <ds:schemaRef ds:uri="baf45800-202a-4d04-9eb1-dcead2d857c9"/>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Potts</dc:creator>
  <cp:keywords/>
  <dc:description/>
  <cp:lastModifiedBy>Joie Harney</cp:lastModifiedBy>
  <cp:revision>2</cp:revision>
  <dcterms:created xsi:type="dcterms:W3CDTF">2019-12-09T15:53:00Z</dcterms:created>
  <dcterms:modified xsi:type="dcterms:W3CDTF">2019-12-09T15:53:00Z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0x010100D8B81DDD6714934EA431F3E7FFBD01B6</vt:lpwstr>
  </property>
</Properties>
</file>