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1679C" w14:textId="77777777" w:rsidR="009017F3" w:rsidRPr="009C1048" w:rsidRDefault="009017F3" w:rsidP="009017F3">
      <w:pPr>
        <w:spacing w:after="0" w:line="240" w:lineRule="auto"/>
        <w:jc w:val="center"/>
        <w:rPr>
          <w:rFonts w:eastAsia="Times New Roman"/>
          <w:b/>
          <w:sz w:val="28"/>
          <w:szCs w:val="28"/>
        </w:rPr>
      </w:pPr>
      <w:bookmarkStart w:id="0" w:name="_GoBack"/>
      <w:bookmarkEnd w:id="0"/>
      <w:r w:rsidRPr="009C1048">
        <w:rPr>
          <w:rFonts w:eastAsia="Times New Roman"/>
          <w:b/>
          <w:sz w:val="28"/>
          <w:szCs w:val="28"/>
        </w:rPr>
        <w:t>University Curriculum and Academic Affairs Committee</w:t>
      </w:r>
    </w:p>
    <w:p w14:paraId="2BF95D21" w14:textId="77777777" w:rsidR="009017F3" w:rsidRDefault="009017F3" w:rsidP="009017F3">
      <w:pPr>
        <w:spacing w:after="0" w:line="240" w:lineRule="auto"/>
        <w:jc w:val="center"/>
        <w:rPr>
          <w:rFonts w:eastAsia="Times New Roman"/>
          <w:b/>
          <w:sz w:val="28"/>
          <w:szCs w:val="28"/>
        </w:rPr>
      </w:pPr>
      <w:r w:rsidRPr="009C1048">
        <w:rPr>
          <w:rFonts w:eastAsia="Times New Roman"/>
          <w:b/>
          <w:sz w:val="28"/>
          <w:szCs w:val="28"/>
        </w:rPr>
        <w:t>UCAAC</w:t>
      </w:r>
    </w:p>
    <w:p w14:paraId="1F91BD1C" w14:textId="76604131" w:rsidR="00351490" w:rsidRDefault="081EA8A9" w:rsidP="081EA8A9">
      <w:pPr>
        <w:spacing w:after="0" w:line="240" w:lineRule="auto"/>
        <w:jc w:val="center"/>
        <w:rPr>
          <w:rFonts w:eastAsia="Times New Roman"/>
          <w:b/>
          <w:bCs/>
          <w:sz w:val="28"/>
          <w:szCs w:val="28"/>
        </w:rPr>
      </w:pPr>
      <w:r w:rsidRPr="081EA8A9">
        <w:rPr>
          <w:b/>
          <w:bCs/>
        </w:rPr>
        <w:t xml:space="preserve">Meeting # </w:t>
      </w:r>
      <w:r w:rsidR="0043475E">
        <w:rPr>
          <w:b/>
          <w:bCs/>
        </w:rPr>
        <w:t>4</w:t>
      </w:r>
    </w:p>
    <w:p w14:paraId="6B551E9D" w14:textId="5F40B19E" w:rsidR="00351490" w:rsidRPr="007B4915" w:rsidRDefault="00935DDE" w:rsidP="081EA8A9">
      <w:pPr>
        <w:spacing w:after="0" w:line="240" w:lineRule="auto"/>
        <w:jc w:val="center"/>
        <w:rPr>
          <w:b/>
          <w:bCs/>
        </w:rPr>
      </w:pPr>
      <w:r>
        <w:rPr>
          <w:b/>
          <w:bCs/>
        </w:rPr>
        <w:t>November 5</w:t>
      </w:r>
      <w:r w:rsidR="081EA8A9" w:rsidRPr="081EA8A9">
        <w:rPr>
          <w:b/>
          <w:bCs/>
        </w:rPr>
        <w:t>, 2019</w:t>
      </w:r>
    </w:p>
    <w:p w14:paraId="047C8F08" w14:textId="4FEAD729" w:rsidR="00351490" w:rsidRDefault="00351490" w:rsidP="00351490">
      <w:pPr>
        <w:spacing w:after="0" w:line="240" w:lineRule="auto"/>
        <w:jc w:val="center"/>
        <w:rPr>
          <w:b/>
        </w:rPr>
      </w:pPr>
      <w:r w:rsidRPr="007B4915">
        <w:rPr>
          <w:b/>
        </w:rPr>
        <w:t>Stalker Hall, Room 211</w:t>
      </w:r>
    </w:p>
    <w:p w14:paraId="7F4D14C9" w14:textId="77777777" w:rsidR="00935DDE" w:rsidRPr="007B4915" w:rsidRDefault="00935DDE" w:rsidP="00351490">
      <w:pPr>
        <w:spacing w:after="0" w:line="240" w:lineRule="auto"/>
        <w:jc w:val="center"/>
        <w:rPr>
          <w:b/>
        </w:rPr>
      </w:pPr>
    </w:p>
    <w:p w14:paraId="38B4F77C" w14:textId="1CB5CF1E" w:rsidR="009D303D" w:rsidRPr="00276177" w:rsidRDefault="00351490" w:rsidP="00276177">
      <w:pPr>
        <w:rPr>
          <w:rFonts w:ascii="Times New Roman" w:eastAsia="Times New Roman" w:hAnsi="Times New Roman" w:cs="Times New Roman"/>
          <w:sz w:val="24"/>
          <w:szCs w:val="24"/>
        </w:rPr>
      </w:pPr>
      <w:r w:rsidRPr="009C1048">
        <w:rPr>
          <w:b/>
        </w:rPr>
        <w:t>CAAC Members Present</w:t>
      </w:r>
      <w:r>
        <w:t xml:space="preserve">: </w:t>
      </w:r>
      <w:r w:rsidR="009C0400" w:rsidRPr="009C0400">
        <w:t xml:space="preserve">Renee Bauer, Dan Clark, Margaret Hill, Jeff Kinne, Winnie Ko, Andrew Payne, Blake </w:t>
      </w:r>
      <w:proofErr w:type="spellStart"/>
      <w:r w:rsidR="009C0400" w:rsidRPr="009C0400">
        <w:t>Rayfield</w:t>
      </w:r>
      <w:proofErr w:type="spellEnd"/>
      <w:r w:rsidR="009C0400" w:rsidRPr="009C0400">
        <w:t>, Brian Schaefer, Edith Wittenmyer</w:t>
      </w:r>
      <w:r w:rsidR="00276177">
        <w:rPr>
          <w:rFonts w:ascii="Times New Roman" w:eastAsia="Times New Roman" w:hAnsi="Times New Roman" w:cs="Times New Roman"/>
          <w:sz w:val="24"/>
          <w:szCs w:val="24"/>
        </w:rPr>
        <w:br/>
      </w:r>
      <w:r w:rsidRPr="009C1048">
        <w:rPr>
          <w:b/>
        </w:rPr>
        <w:t>Absent:</w:t>
      </w:r>
      <w:r w:rsidR="005F79B1">
        <w:t xml:space="preserve"> </w:t>
      </w:r>
      <w:r w:rsidR="00276177">
        <w:t>-</w:t>
      </w:r>
      <w:r w:rsidR="00276177">
        <w:rPr>
          <w:rFonts w:ascii="Times New Roman" w:eastAsia="Times New Roman" w:hAnsi="Times New Roman" w:cs="Times New Roman"/>
          <w:sz w:val="24"/>
          <w:szCs w:val="24"/>
        </w:rPr>
        <w:br/>
      </w:r>
      <w:r>
        <w:rPr>
          <w:b/>
        </w:rPr>
        <w:t>Guest</w:t>
      </w:r>
      <w:r w:rsidR="005F79B1">
        <w:t xml:space="preserve">: </w:t>
      </w:r>
      <w:r w:rsidR="00276177">
        <w:t>-</w:t>
      </w:r>
      <w:r w:rsidR="00935DDE">
        <w:t>Liz Brown</w:t>
      </w:r>
      <w:r w:rsidR="00276177">
        <w:rPr>
          <w:rFonts w:ascii="Times New Roman" w:eastAsia="Times New Roman" w:hAnsi="Times New Roman" w:cs="Times New Roman"/>
          <w:sz w:val="24"/>
          <w:szCs w:val="24"/>
        </w:rPr>
        <w:br/>
      </w:r>
      <w:r w:rsidRPr="002F4D21">
        <w:rPr>
          <w:b/>
        </w:rPr>
        <w:t>Executive Committee</w:t>
      </w:r>
      <w:r>
        <w:t xml:space="preserve"> </w:t>
      </w:r>
      <w:r w:rsidRPr="002F4D21">
        <w:rPr>
          <w:b/>
        </w:rPr>
        <w:t>Lia</w:t>
      </w:r>
      <w:r w:rsidR="0050097A">
        <w:rPr>
          <w:b/>
        </w:rPr>
        <w:t>i</w:t>
      </w:r>
      <w:r w:rsidRPr="002F4D21">
        <w:rPr>
          <w:b/>
        </w:rPr>
        <w:t>son</w:t>
      </w:r>
      <w:r>
        <w:t xml:space="preserve">: </w:t>
      </w:r>
      <w:r w:rsidR="009C0400">
        <w:t>Shawn Phillips</w:t>
      </w:r>
      <w:r w:rsidR="00276177">
        <w:rPr>
          <w:rFonts w:ascii="Times New Roman" w:eastAsia="Times New Roman" w:hAnsi="Times New Roman" w:cs="Times New Roman"/>
          <w:sz w:val="24"/>
          <w:szCs w:val="24"/>
        </w:rPr>
        <w:br/>
      </w:r>
      <w:r>
        <w:rPr>
          <w:b/>
        </w:rPr>
        <w:t>Ex Officio</w:t>
      </w:r>
      <w:r w:rsidRPr="00BA42E1">
        <w:t xml:space="preserve">: </w:t>
      </w:r>
      <w:r w:rsidR="0057452D">
        <w:t xml:space="preserve">present – Whitney </w:t>
      </w:r>
      <w:proofErr w:type="spellStart"/>
      <w:r w:rsidR="0057452D">
        <w:t>Nesser</w:t>
      </w:r>
      <w:proofErr w:type="spellEnd"/>
      <w:r w:rsidR="0057452D">
        <w:t xml:space="preserve">, </w:t>
      </w:r>
      <w:r w:rsidR="00935DDE">
        <w:t xml:space="preserve">Susan Powers, </w:t>
      </w:r>
      <w:r w:rsidR="0057452D">
        <w:t>Angie Smith</w:t>
      </w:r>
      <w:r w:rsidR="00935DDE">
        <w:t>,</w:t>
      </w:r>
      <w:r w:rsidR="00935DDE" w:rsidRPr="00935DDE">
        <w:t xml:space="preserve"> </w:t>
      </w:r>
      <w:r w:rsidR="00935DDE" w:rsidRPr="00BA42E1">
        <w:t>Kelly Wilkinson</w:t>
      </w:r>
      <w:r w:rsidR="00935DDE">
        <w:t xml:space="preserve">, </w:t>
      </w:r>
      <w:r w:rsidR="00935DDE" w:rsidRPr="00BA42E1">
        <w:t>Bassam Yousif</w:t>
      </w:r>
      <w:r w:rsidR="00935DDE">
        <w:t>.  Absent but ke</w:t>
      </w:r>
      <w:r w:rsidR="0057452D">
        <w:t>p</w:t>
      </w:r>
      <w:r w:rsidR="00935DDE">
        <w:t>t</w:t>
      </w:r>
      <w:r w:rsidR="0057452D">
        <w:t xml:space="preserve"> on the weekly invitation – Linda Maule, </w:t>
      </w:r>
      <w:r w:rsidR="009C0400">
        <w:t xml:space="preserve">Jim Smallwood, Linda Sperry, </w:t>
      </w:r>
    </w:p>
    <w:tbl>
      <w:tblPr>
        <w:tblStyle w:val="TableGrid"/>
        <w:tblW w:w="9805" w:type="dxa"/>
        <w:tblLook w:val="04A0" w:firstRow="1" w:lastRow="0" w:firstColumn="1" w:lastColumn="0" w:noHBand="0" w:noVBand="1"/>
      </w:tblPr>
      <w:tblGrid>
        <w:gridCol w:w="2250"/>
        <w:gridCol w:w="5027"/>
        <w:gridCol w:w="2528"/>
      </w:tblGrid>
      <w:tr w:rsidR="009017F3" w14:paraId="56530705" w14:textId="77777777" w:rsidTr="00913488">
        <w:tc>
          <w:tcPr>
            <w:tcW w:w="2250" w:type="dxa"/>
            <w:shd w:val="clear" w:color="auto" w:fill="BDD6EE" w:themeFill="accent1" w:themeFillTint="66"/>
          </w:tcPr>
          <w:p w14:paraId="53A8696D" w14:textId="77777777" w:rsidR="009017F3" w:rsidRPr="000F6CD0" w:rsidRDefault="009017F3" w:rsidP="008F7618">
            <w:pPr>
              <w:jc w:val="center"/>
              <w:rPr>
                <w:b/>
              </w:rPr>
            </w:pPr>
            <w:r w:rsidRPr="000F6CD0">
              <w:rPr>
                <w:b/>
              </w:rPr>
              <w:t>Agenda Item</w:t>
            </w:r>
          </w:p>
        </w:tc>
        <w:tc>
          <w:tcPr>
            <w:tcW w:w="5027" w:type="dxa"/>
            <w:shd w:val="clear" w:color="auto" w:fill="BDD6EE" w:themeFill="accent1" w:themeFillTint="66"/>
          </w:tcPr>
          <w:p w14:paraId="4AFE23A4" w14:textId="77777777" w:rsidR="009017F3" w:rsidRPr="000F6CD0" w:rsidRDefault="009017F3" w:rsidP="008F7618">
            <w:pPr>
              <w:jc w:val="center"/>
              <w:rPr>
                <w:b/>
              </w:rPr>
            </w:pPr>
            <w:r w:rsidRPr="000F6CD0">
              <w:rPr>
                <w:b/>
              </w:rPr>
              <w:t>Discussion</w:t>
            </w:r>
          </w:p>
        </w:tc>
        <w:tc>
          <w:tcPr>
            <w:tcW w:w="2528" w:type="dxa"/>
            <w:shd w:val="clear" w:color="auto" w:fill="BDD6EE" w:themeFill="accent1" w:themeFillTint="66"/>
          </w:tcPr>
          <w:p w14:paraId="66A9C209" w14:textId="77777777" w:rsidR="009017F3" w:rsidRPr="000F6CD0" w:rsidRDefault="009017F3" w:rsidP="008F7618">
            <w:pPr>
              <w:rPr>
                <w:b/>
              </w:rPr>
            </w:pPr>
            <w:r w:rsidRPr="000F6CD0">
              <w:rPr>
                <w:b/>
              </w:rPr>
              <w:t>Recommendation/Action</w:t>
            </w:r>
          </w:p>
        </w:tc>
      </w:tr>
      <w:tr w:rsidR="009017F3" w14:paraId="5C86EB96" w14:textId="77777777" w:rsidTr="00913488">
        <w:tc>
          <w:tcPr>
            <w:tcW w:w="2250" w:type="dxa"/>
          </w:tcPr>
          <w:p w14:paraId="17337E17" w14:textId="77777777" w:rsidR="009017F3" w:rsidRPr="00FA454B" w:rsidRDefault="009017F3" w:rsidP="00FA454B">
            <w:pPr>
              <w:pStyle w:val="ListParagraph"/>
              <w:numPr>
                <w:ilvl w:val="0"/>
                <w:numId w:val="3"/>
              </w:numPr>
              <w:rPr>
                <w:b/>
                <w:sz w:val="24"/>
                <w:szCs w:val="24"/>
              </w:rPr>
            </w:pPr>
            <w:r w:rsidRPr="00FA454B">
              <w:rPr>
                <w:b/>
                <w:sz w:val="24"/>
                <w:szCs w:val="24"/>
              </w:rPr>
              <w:t>Call to Order</w:t>
            </w:r>
          </w:p>
        </w:tc>
        <w:tc>
          <w:tcPr>
            <w:tcW w:w="5027" w:type="dxa"/>
          </w:tcPr>
          <w:p w14:paraId="672A6659" w14:textId="61F051E7" w:rsidR="005F79B1" w:rsidRDefault="00935DDE" w:rsidP="00935DDE">
            <w:r>
              <w:t xml:space="preserve">Winnie Ko </w:t>
            </w:r>
            <w:r w:rsidR="005F79B1">
              <w:t>called meeting to order at</w:t>
            </w:r>
            <w:r w:rsidR="00012380">
              <w:t xml:space="preserve"> </w:t>
            </w:r>
            <w:r w:rsidR="005F79B1">
              <w:t xml:space="preserve"> </w:t>
            </w:r>
            <w:r w:rsidR="00DC141D">
              <w:t>12:</w:t>
            </w:r>
            <w:r w:rsidR="009673A6">
              <w:t>30</w:t>
            </w:r>
          </w:p>
        </w:tc>
        <w:tc>
          <w:tcPr>
            <w:tcW w:w="2528" w:type="dxa"/>
          </w:tcPr>
          <w:p w14:paraId="0A37501D" w14:textId="77777777" w:rsidR="009017F3" w:rsidRDefault="009017F3" w:rsidP="008F7618"/>
        </w:tc>
      </w:tr>
      <w:tr w:rsidR="000F6CD0" w14:paraId="5DAB6C7B" w14:textId="77777777" w:rsidTr="00913488">
        <w:tc>
          <w:tcPr>
            <w:tcW w:w="2250" w:type="dxa"/>
            <w:shd w:val="clear" w:color="auto" w:fill="BDD6EE" w:themeFill="accent1" w:themeFillTint="66"/>
          </w:tcPr>
          <w:p w14:paraId="02EB378F" w14:textId="77777777" w:rsidR="000F6CD0" w:rsidRPr="00FA454B" w:rsidRDefault="000F6CD0" w:rsidP="000F6CD0">
            <w:pPr>
              <w:pStyle w:val="ListParagraph"/>
              <w:rPr>
                <w:b/>
                <w:sz w:val="24"/>
                <w:szCs w:val="24"/>
              </w:rPr>
            </w:pPr>
          </w:p>
        </w:tc>
        <w:tc>
          <w:tcPr>
            <w:tcW w:w="5027" w:type="dxa"/>
            <w:shd w:val="clear" w:color="auto" w:fill="BDD6EE" w:themeFill="accent1" w:themeFillTint="66"/>
          </w:tcPr>
          <w:p w14:paraId="6A05A809" w14:textId="77777777" w:rsidR="000F6CD0" w:rsidRDefault="000F6CD0" w:rsidP="008F7618"/>
        </w:tc>
        <w:tc>
          <w:tcPr>
            <w:tcW w:w="2528" w:type="dxa"/>
            <w:shd w:val="clear" w:color="auto" w:fill="BDD6EE" w:themeFill="accent1" w:themeFillTint="66"/>
          </w:tcPr>
          <w:p w14:paraId="5A39BBE3" w14:textId="77777777" w:rsidR="000F6CD0" w:rsidRDefault="000F6CD0" w:rsidP="008F7618"/>
        </w:tc>
      </w:tr>
      <w:tr w:rsidR="00913488" w14:paraId="12B55489" w14:textId="77777777" w:rsidTr="00913488">
        <w:tc>
          <w:tcPr>
            <w:tcW w:w="2250" w:type="dxa"/>
          </w:tcPr>
          <w:p w14:paraId="15EB67AA" w14:textId="3B6668F5" w:rsidR="00913488" w:rsidRPr="00FA454B" w:rsidRDefault="00913488" w:rsidP="00913488">
            <w:pPr>
              <w:pStyle w:val="ListParagraph"/>
              <w:numPr>
                <w:ilvl w:val="0"/>
                <w:numId w:val="3"/>
              </w:numPr>
              <w:rPr>
                <w:b/>
                <w:sz w:val="24"/>
                <w:szCs w:val="24"/>
              </w:rPr>
            </w:pPr>
            <w:r w:rsidRPr="00FA454B">
              <w:rPr>
                <w:b/>
                <w:sz w:val="24"/>
                <w:szCs w:val="24"/>
              </w:rPr>
              <w:t>Approval of Minutes</w:t>
            </w:r>
          </w:p>
        </w:tc>
        <w:tc>
          <w:tcPr>
            <w:tcW w:w="5027" w:type="dxa"/>
          </w:tcPr>
          <w:p w14:paraId="75EF678D" w14:textId="3915F19D" w:rsidR="00913488" w:rsidRDefault="00913488" w:rsidP="00913488"/>
        </w:tc>
        <w:tc>
          <w:tcPr>
            <w:tcW w:w="2528" w:type="dxa"/>
          </w:tcPr>
          <w:p w14:paraId="1C41E98C" w14:textId="542F3DCD" w:rsidR="00913488" w:rsidRDefault="00913488" w:rsidP="00913488">
            <w:r>
              <w:t>Motion by D. Clark to approve minutes, second by S. Phillips. (6-0-3)</w:t>
            </w:r>
          </w:p>
        </w:tc>
      </w:tr>
      <w:tr w:rsidR="00913488" w14:paraId="41C8F396" w14:textId="77777777" w:rsidTr="00913488">
        <w:tc>
          <w:tcPr>
            <w:tcW w:w="2250" w:type="dxa"/>
            <w:shd w:val="clear" w:color="auto" w:fill="BDD6EE" w:themeFill="accent1" w:themeFillTint="66"/>
          </w:tcPr>
          <w:p w14:paraId="72A3D3EC" w14:textId="77777777" w:rsidR="00913488" w:rsidRPr="00877C3F" w:rsidRDefault="00913488" w:rsidP="00913488">
            <w:pPr>
              <w:rPr>
                <w:b/>
                <w:sz w:val="24"/>
                <w:szCs w:val="24"/>
              </w:rPr>
            </w:pPr>
          </w:p>
        </w:tc>
        <w:tc>
          <w:tcPr>
            <w:tcW w:w="5027" w:type="dxa"/>
            <w:shd w:val="clear" w:color="auto" w:fill="BDD6EE" w:themeFill="accent1" w:themeFillTint="66"/>
          </w:tcPr>
          <w:p w14:paraId="0D0B940D" w14:textId="77777777" w:rsidR="00913488" w:rsidRDefault="00913488" w:rsidP="00913488"/>
        </w:tc>
        <w:tc>
          <w:tcPr>
            <w:tcW w:w="2528" w:type="dxa"/>
            <w:shd w:val="clear" w:color="auto" w:fill="BDD6EE" w:themeFill="accent1" w:themeFillTint="66"/>
          </w:tcPr>
          <w:p w14:paraId="0E27B00A" w14:textId="77777777" w:rsidR="00913488" w:rsidRDefault="00913488" w:rsidP="00913488"/>
        </w:tc>
      </w:tr>
      <w:tr w:rsidR="00913488" w14:paraId="6AA5EDA5" w14:textId="77777777" w:rsidTr="00913488">
        <w:tc>
          <w:tcPr>
            <w:tcW w:w="2250" w:type="dxa"/>
          </w:tcPr>
          <w:p w14:paraId="0EE34BC3" w14:textId="77777777" w:rsidR="00913488" w:rsidRPr="009673A6" w:rsidRDefault="00913488" w:rsidP="00913488">
            <w:pPr>
              <w:pStyle w:val="ListParagraph"/>
              <w:numPr>
                <w:ilvl w:val="0"/>
                <w:numId w:val="3"/>
              </w:numPr>
              <w:rPr>
                <w:b/>
                <w:bCs/>
                <w:color w:val="000000" w:themeColor="text1"/>
              </w:rPr>
            </w:pPr>
            <w:r w:rsidRPr="1A074E58">
              <w:rPr>
                <w:b/>
                <w:bCs/>
                <w:sz w:val="24"/>
                <w:szCs w:val="24"/>
              </w:rPr>
              <w:t>Review of</w:t>
            </w:r>
            <w:r>
              <w:rPr>
                <w:b/>
                <w:bCs/>
                <w:sz w:val="24"/>
                <w:szCs w:val="24"/>
              </w:rPr>
              <w:t xml:space="preserve"> Mathematics Teaching Major</w:t>
            </w:r>
          </w:p>
          <w:p w14:paraId="49CFEFCD" w14:textId="11921EDB" w:rsidR="00913488" w:rsidRPr="008521ED" w:rsidRDefault="00913488" w:rsidP="00913488">
            <w:pPr>
              <w:ind w:left="360"/>
            </w:pPr>
          </w:p>
        </w:tc>
        <w:tc>
          <w:tcPr>
            <w:tcW w:w="5027" w:type="dxa"/>
          </w:tcPr>
          <w:p w14:paraId="60061E4C" w14:textId="40DE3B5A" w:rsidR="00913488" w:rsidRPr="007B4915" w:rsidRDefault="00913488" w:rsidP="00913488">
            <w:r>
              <w:t>Liz Brown explained the necessary change to the Math Education major, owing to the recent alterations differentiating between the BA and BS in the regular Mathematics major.  Math Ed. will align with the BA course requirements.  She summarized the alterations: MATH 231 eliminated, MATH 241 added.</w:t>
            </w:r>
          </w:p>
        </w:tc>
        <w:tc>
          <w:tcPr>
            <w:tcW w:w="2528" w:type="dxa"/>
          </w:tcPr>
          <w:p w14:paraId="44EAFD9C" w14:textId="55B16590" w:rsidR="00913488" w:rsidRDefault="00913488" w:rsidP="00913488"/>
        </w:tc>
      </w:tr>
      <w:tr w:rsidR="00913488" w14:paraId="4B94D5A5" w14:textId="77777777" w:rsidTr="00913488">
        <w:tc>
          <w:tcPr>
            <w:tcW w:w="2250" w:type="dxa"/>
            <w:shd w:val="clear" w:color="auto" w:fill="BDD6EE" w:themeFill="accent1" w:themeFillTint="66"/>
          </w:tcPr>
          <w:p w14:paraId="3DEEC669" w14:textId="77777777" w:rsidR="00913488" w:rsidRDefault="00913488" w:rsidP="00913488">
            <w:pPr>
              <w:rPr>
                <w:rFonts w:ascii="Times New Roman" w:eastAsia="Times New Roman" w:hAnsi="Times New Roman" w:cs="Times New Roman"/>
                <w:color w:val="000000"/>
                <w:sz w:val="24"/>
                <w:szCs w:val="24"/>
              </w:rPr>
            </w:pPr>
          </w:p>
        </w:tc>
        <w:tc>
          <w:tcPr>
            <w:tcW w:w="5027" w:type="dxa"/>
            <w:shd w:val="clear" w:color="auto" w:fill="BDD6EE" w:themeFill="accent1" w:themeFillTint="66"/>
          </w:tcPr>
          <w:p w14:paraId="3656B9AB" w14:textId="77777777" w:rsidR="00913488" w:rsidRPr="00877C3F" w:rsidRDefault="00913488" w:rsidP="00913488">
            <w:pPr>
              <w:rPr>
                <w:b/>
              </w:rPr>
            </w:pPr>
          </w:p>
        </w:tc>
        <w:tc>
          <w:tcPr>
            <w:tcW w:w="2528" w:type="dxa"/>
            <w:shd w:val="clear" w:color="auto" w:fill="BDD6EE" w:themeFill="accent1" w:themeFillTint="66"/>
          </w:tcPr>
          <w:p w14:paraId="45FB0818" w14:textId="77777777" w:rsidR="00913488" w:rsidRDefault="00913488" w:rsidP="00913488"/>
        </w:tc>
      </w:tr>
      <w:tr w:rsidR="00913488" w14:paraId="2D255667" w14:textId="77777777" w:rsidTr="00913488">
        <w:tc>
          <w:tcPr>
            <w:tcW w:w="2250" w:type="dxa"/>
          </w:tcPr>
          <w:p w14:paraId="4DDBEF00" w14:textId="43825D65" w:rsidR="00913488" w:rsidRPr="00913488" w:rsidRDefault="00913488" w:rsidP="00913488">
            <w:pPr>
              <w:pStyle w:val="ListParagraph"/>
              <w:numPr>
                <w:ilvl w:val="0"/>
                <w:numId w:val="3"/>
              </w:numPr>
              <w:rPr>
                <w:b/>
              </w:rPr>
            </w:pPr>
            <w:r w:rsidRPr="00913488">
              <w:rPr>
                <w:b/>
              </w:rPr>
              <w:t>Approval of Museum Studies Minor</w:t>
            </w:r>
          </w:p>
        </w:tc>
        <w:tc>
          <w:tcPr>
            <w:tcW w:w="5027" w:type="dxa"/>
          </w:tcPr>
          <w:p w14:paraId="3461D779" w14:textId="0F490633" w:rsidR="00913488" w:rsidRPr="00FA454B" w:rsidRDefault="00EF68B8" w:rsidP="00913488">
            <w:pPr>
              <w:rPr>
                <w:rFonts w:ascii="Calibri" w:eastAsia="Calibri" w:hAnsi="Calibri" w:cs="Calibri"/>
                <w:sz w:val="24"/>
                <w:szCs w:val="24"/>
              </w:rPr>
            </w:pPr>
            <w:r>
              <w:rPr>
                <w:rFonts w:ascii="Calibri" w:eastAsia="Calibri" w:hAnsi="Calibri" w:cs="Calibri"/>
                <w:sz w:val="24"/>
                <w:szCs w:val="24"/>
              </w:rPr>
              <w:t>NA</w:t>
            </w:r>
          </w:p>
        </w:tc>
        <w:tc>
          <w:tcPr>
            <w:tcW w:w="2528" w:type="dxa"/>
          </w:tcPr>
          <w:p w14:paraId="3CF2D8B6" w14:textId="6660E62C" w:rsidR="00913488" w:rsidRDefault="00913488" w:rsidP="00913488">
            <w:r>
              <w:t>Motion by J. Kinne to approve, second by R. Bauer. (10-0)</w:t>
            </w:r>
          </w:p>
        </w:tc>
      </w:tr>
      <w:tr w:rsidR="00913488" w14:paraId="06BD34BA" w14:textId="77777777" w:rsidTr="004B694F">
        <w:tc>
          <w:tcPr>
            <w:tcW w:w="2250" w:type="dxa"/>
            <w:shd w:val="clear" w:color="auto" w:fill="BDD6EE" w:themeFill="accent1" w:themeFillTint="66"/>
          </w:tcPr>
          <w:p w14:paraId="3E977702" w14:textId="77777777" w:rsidR="00913488" w:rsidRPr="00913488" w:rsidRDefault="00913488" w:rsidP="00913488">
            <w:pPr>
              <w:rPr>
                <w:b/>
                <w:sz w:val="24"/>
                <w:szCs w:val="24"/>
              </w:rPr>
            </w:pPr>
          </w:p>
        </w:tc>
        <w:tc>
          <w:tcPr>
            <w:tcW w:w="5027" w:type="dxa"/>
            <w:shd w:val="clear" w:color="auto" w:fill="BDD6EE" w:themeFill="accent1" w:themeFillTint="66"/>
          </w:tcPr>
          <w:p w14:paraId="53BD6191" w14:textId="77777777" w:rsidR="00913488" w:rsidRPr="00913488" w:rsidRDefault="00913488" w:rsidP="00913488">
            <w:pPr>
              <w:rPr>
                <w:b/>
                <w:sz w:val="24"/>
                <w:szCs w:val="24"/>
              </w:rPr>
            </w:pPr>
          </w:p>
        </w:tc>
        <w:tc>
          <w:tcPr>
            <w:tcW w:w="2528" w:type="dxa"/>
            <w:shd w:val="clear" w:color="auto" w:fill="BDD6EE" w:themeFill="accent1" w:themeFillTint="66"/>
          </w:tcPr>
          <w:p w14:paraId="2354C95A" w14:textId="77777777" w:rsidR="00913488" w:rsidRPr="00913488" w:rsidRDefault="00913488" w:rsidP="00913488">
            <w:pPr>
              <w:rPr>
                <w:b/>
                <w:sz w:val="24"/>
                <w:szCs w:val="24"/>
              </w:rPr>
            </w:pPr>
          </w:p>
        </w:tc>
      </w:tr>
      <w:tr w:rsidR="00EF68B8" w14:paraId="26FCC3A4" w14:textId="77777777" w:rsidTr="00913488">
        <w:tc>
          <w:tcPr>
            <w:tcW w:w="2250" w:type="dxa"/>
          </w:tcPr>
          <w:p w14:paraId="7639ACF8" w14:textId="6AF1C5D4" w:rsidR="00EF68B8" w:rsidRPr="1A074E58" w:rsidRDefault="00EF68B8" w:rsidP="00EF68B8">
            <w:pPr>
              <w:pStyle w:val="ListParagraph"/>
              <w:numPr>
                <w:ilvl w:val="0"/>
                <w:numId w:val="3"/>
              </w:numPr>
              <w:rPr>
                <w:b/>
                <w:bCs/>
                <w:sz w:val="24"/>
                <w:szCs w:val="24"/>
              </w:rPr>
            </w:pPr>
            <w:r>
              <w:rPr>
                <w:b/>
                <w:bCs/>
                <w:sz w:val="24"/>
                <w:szCs w:val="24"/>
              </w:rPr>
              <w:t>Approval of Nursing Major-Accelerated Second Degree</w:t>
            </w:r>
          </w:p>
        </w:tc>
        <w:tc>
          <w:tcPr>
            <w:tcW w:w="5027" w:type="dxa"/>
          </w:tcPr>
          <w:p w14:paraId="1DAD9909" w14:textId="5B783832" w:rsidR="00EF68B8" w:rsidRPr="006A4890" w:rsidRDefault="00EF68B8" w:rsidP="00EF68B8">
            <w:r>
              <w:t>NA</w:t>
            </w:r>
          </w:p>
        </w:tc>
        <w:tc>
          <w:tcPr>
            <w:tcW w:w="2528" w:type="dxa"/>
          </w:tcPr>
          <w:p w14:paraId="27D4BA53" w14:textId="7E2D7841" w:rsidR="00EF68B8" w:rsidRDefault="00EF68B8" w:rsidP="00EF68B8">
            <w:r>
              <w:t>Motion by S. Phillips to approve, second by B. Schaefer. (10-0)</w:t>
            </w:r>
          </w:p>
        </w:tc>
      </w:tr>
      <w:tr w:rsidR="00EF68B8" w14:paraId="1016A057" w14:textId="77777777" w:rsidTr="004B694F">
        <w:tc>
          <w:tcPr>
            <w:tcW w:w="2250" w:type="dxa"/>
            <w:shd w:val="clear" w:color="auto" w:fill="BDD6EE" w:themeFill="accent1" w:themeFillTint="66"/>
          </w:tcPr>
          <w:p w14:paraId="3487397B" w14:textId="77777777" w:rsidR="00EF68B8" w:rsidRDefault="00EF68B8" w:rsidP="00EF68B8">
            <w:pPr>
              <w:pStyle w:val="ListParagraph"/>
              <w:rPr>
                <w:b/>
                <w:bCs/>
                <w:sz w:val="24"/>
                <w:szCs w:val="24"/>
              </w:rPr>
            </w:pPr>
          </w:p>
        </w:tc>
        <w:tc>
          <w:tcPr>
            <w:tcW w:w="5027" w:type="dxa"/>
            <w:shd w:val="clear" w:color="auto" w:fill="BDD6EE" w:themeFill="accent1" w:themeFillTint="66"/>
          </w:tcPr>
          <w:p w14:paraId="42B50384" w14:textId="77777777" w:rsidR="00EF68B8" w:rsidRPr="006A4890" w:rsidRDefault="00EF68B8" w:rsidP="00EF68B8"/>
        </w:tc>
        <w:tc>
          <w:tcPr>
            <w:tcW w:w="2528" w:type="dxa"/>
            <w:shd w:val="clear" w:color="auto" w:fill="BDD6EE" w:themeFill="accent1" w:themeFillTint="66"/>
          </w:tcPr>
          <w:p w14:paraId="3554C502" w14:textId="77777777" w:rsidR="00EF68B8" w:rsidRDefault="00EF68B8" w:rsidP="00EF68B8"/>
        </w:tc>
      </w:tr>
      <w:tr w:rsidR="00EF68B8" w14:paraId="6840E6BF" w14:textId="77777777" w:rsidTr="00913488">
        <w:tc>
          <w:tcPr>
            <w:tcW w:w="2250" w:type="dxa"/>
          </w:tcPr>
          <w:p w14:paraId="5EBB7A54" w14:textId="6AE22CFF" w:rsidR="00EF68B8" w:rsidRDefault="00EF68B8" w:rsidP="00EF68B8">
            <w:pPr>
              <w:pStyle w:val="ListParagraph"/>
              <w:numPr>
                <w:ilvl w:val="0"/>
                <w:numId w:val="3"/>
              </w:numPr>
              <w:rPr>
                <w:b/>
                <w:bCs/>
                <w:sz w:val="24"/>
                <w:szCs w:val="24"/>
              </w:rPr>
            </w:pPr>
            <w:r>
              <w:rPr>
                <w:b/>
                <w:bCs/>
                <w:sz w:val="24"/>
                <w:szCs w:val="24"/>
              </w:rPr>
              <w:t xml:space="preserve">Approval of Nursing Major-Traditional Track for </w:t>
            </w:r>
            <w:r>
              <w:rPr>
                <w:b/>
                <w:bCs/>
                <w:sz w:val="24"/>
                <w:szCs w:val="24"/>
              </w:rPr>
              <w:lastRenderedPageBreak/>
              <w:t>students entering with RN or LPN</w:t>
            </w:r>
          </w:p>
        </w:tc>
        <w:tc>
          <w:tcPr>
            <w:tcW w:w="5027" w:type="dxa"/>
          </w:tcPr>
          <w:p w14:paraId="5950CAF8" w14:textId="7AFAD4E6" w:rsidR="00EF68B8" w:rsidRDefault="00EF68B8" w:rsidP="00EF68B8">
            <w:r>
              <w:lastRenderedPageBreak/>
              <w:t>NA</w:t>
            </w:r>
          </w:p>
        </w:tc>
        <w:tc>
          <w:tcPr>
            <w:tcW w:w="2528" w:type="dxa"/>
          </w:tcPr>
          <w:p w14:paraId="0B877FDD" w14:textId="2F643D7F" w:rsidR="00EF68B8" w:rsidRDefault="00EF68B8" w:rsidP="00EF68B8">
            <w:r>
              <w:t>Motion by S. Phillips to approve, second by A. Payne. (10-0)</w:t>
            </w:r>
          </w:p>
        </w:tc>
      </w:tr>
      <w:tr w:rsidR="00EF68B8" w14:paraId="439A79B6" w14:textId="77777777" w:rsidTr="00913488">
        <w:tc>
          <w:tcPr>
            <w:tcW w:w="2250" w:type="dxa"/>
            <w:shd w:val="clear" w:color="auto" w:fill="BDD6EE" w:themeFill="accent1" w:themeFillTint="66"/>
          </w:tcPr>
          <w:p w14:paraId="1DCE8CDC" w14:textId="7376CC62" w:rsidR="00EF68B8" w:rsidRPr="00FA454B" w:rsidRDefault="00EF68B8" w:rsidP="00EF68B8">
            <w:pPr>
              <w:ind w:left="360"/>
              <w:rPr>
                <w:rFonts w:eastAsia="Times New Roman" w:cs="Times New Roman"/>
                <w:b/>
                <w:bCs/>
                <w:color w:val="000000" w:themeColor="text1"/>
              </w:rPr>
            </w:pPr>
          </w:p>
        </w:tc>
        <w:tc>
          <w:tcPr>
            <w:tcW w:w="5027" w:type="dxa"/>
            <w:shd w:val="clear" w:color="auto" w:fill="BDD6EE" w:themeFill="accent1" w:themeFillTint="66"/>
          </w:tcPr>
          <w:p w14:paraId="0FB78278" w14:textId="59F88F4E" w:rsidR="00EF68B8" w:rsidRDefault="00EF68B8" w:rsidP="00EF68B8">
            <w:pPr>
              <w:rPr>
                <w:rFonts w:ascii="Calibri" w:eastAsia="Calibri" w:hAnsi="Calibri" w:cs="Calibri"/>
                <w:sz w:val="24"/>
                <w:szCs w:val="24"/>
              </w:rPr>
            </w:pPr>
          </w:p>
        </w:tc>
        <w:tc>
          <w:tcPr>
            <w:tcW w:w="2528" w:type="dxa"/>
            <w:shd w:val="clear" w:color="auto" w:fill="BDD6EE" w:themeFill="accent1" w:themeFillTint="66"/>
          </w:tcPr>
          <w:p w14:paraId="1FC39945" w14:textId="77777777" w:rsidR="00EF68B8" w:rsidRDefault="00EF68B8" w:rsidP="00EF68B8"/>
        </w:tc>
      </w:tr>
      <w:tr w:rsidR="00EF68B8" w14:paraId="13CE4C09" w14:textId="77777777" w:rsidTr="00913488">
        <w:tc>
          <w:tcPr>
            <w:tcW w:w="2250" w:type="dxa"/>
          </w:tcPr>
          <w:p w14:paraId="7AEE0980" w14:textId="0B433265" w:rsidR="00EF68B8" w:rsidRPr="00E70ECD" w:rsidRDefault="00EF68B8" w:rsidP="00EF68B8">
            <w:pPr>
              <w:pStyle w:val="ListParagraph"/>
              <w:numPr>
                <w:ilvl w:val="0"/>
                <w:numId w:val="3"/>
              </w:numPr>
              <w:rPr>
                <w:b/>
                <w:bCs/>
              </w:rPr>
            </w:pPr>
            <w:r>
              <w:rPr>
                <w:b/>
                <w:bCs/>
              </w:rPr>
              <w:t>Discussion of Charge to Oversee Enrollment and Graduation Rates of Recently Approved Programs</w:t>
            </w:r>
          </w:p>
        </w:tc>
        <w:tc>
          <w:tcPr>
            <w:tcW w:w="5027" w:type="dxa"/>
          </w:tcPr>
          <w:p w14:paraId="1DB4B485" w14:textId="77777777" w:rsidR="00EF68B8" w:rsidRDefault="00B536BE" w:rsidP="00EF68B8">
            <w:r>
              <w:t xml:space="preserve">CAAC presented with enrollment and graduation rates for all ISU programs.  </w:t>
            </w:r>
          </w:p>
          <w:p w14:paraId="06C8F2E0" w14:textId="77777777" w:rsidR="00B536BE" w:rsidRDefault="00B536BE" w:rsidP="00EF68B8"/>
          <w:p w14:paraId="3CB20758" w14:textId="77777777" w:rsidR="00B536BE" w:rsidRDefault="00B536BE" w:rsidP="00EF68B8">
            <w:r>
              <w:t xml:space="preserve">S. Powers clarified that this would be the beginning of an on-going discussion in CAAC regarding the charge.  She offered that through CAAC the faculty could reassert some authority in reviewing the viability of programs.  </w:t>
            </w:r>
          </w:p>
          <w:p w14:paraId="602F985C" w14:textId="77777777" w:rsidR="00B536BE" w:rsidRDefault="00B536BE" w:rsidP="00EF68B8"/>
          <w:p w14:paraId="4FF54597" w14:textId="77777777" w:rsidR="00B536BE" w:rsidRDefault="00B536BE" w:rsidP="00EF68B8">
            <w:r>
              <w:t>D. Clark raised the point that perhaps CAAC needed more information and criteria that would help a meaningful review of programs.</w:t>
            </w:r>
          </w:p>
          <w:p w14:paraId="14F1D814" w14:textId="77777777" w:rsidR="00B536BE" w:rsidRDefault="00B536BE" w:rsidP="00B536BE"/>
          <w:p w14:paraId="42BBB39E" w14:textId="77777777" w:rsidR="00B536BE" w:rsidRDefault="00B536BE" w:rsidP="00B536BE">
            <w:r>
              <w:t>A. Payne offered that a list of new programs along with the criteria for low-enrolled certificate programs would also be useful.</w:t>
            </w:r>
          </w:p>
          <w:p w14:paraId="66F1A297" w14:textId="77777777" w:rsidR="00B536BE" w:rsidRDefault="00B536BE" w:rsidP="00B536BE"/>
          <w:p w14:paraId="62D9CE1A" w14:textId="77777777" w:rsidR="00B536BE" w:rsidRDefault="00B536BE" w:rsidP="00B536BE">
            <w:r>
              <w:t>J. Kinne inquired that if CAAC would be asking departments to defend low-enrolled certificate programs, what should CAAC be looking for (again the issue of criteria or guidelines).</w:t>
            </w:r>
          </w:p>
          <w:p w14:paraId="0E1D83F4" w14:textId="77777777" w:rsidR="00B536BE" w:rsidRDefault="00B536BE" w:rsidP="00B536BE"/>
          <w:p w14:paraId="6C61EB74" w14:textId="77777777" w:rsidR="00B536BE" w:rsidRDefault="00B536BE" w:rsidP="00B536BE">
            <w:r>
              <w:t>K. Wilkerson offered that it might be useful for CAAC itself to develop such criteria, perhaps a checklist that would align with state-level criteria, all of which would help departments to police and review their own programs.</w:t>
            </w:r>
          </w:p>
          <w:p w14:paraId="2D24C057" w14:textId="77777777" w:rsidR="004B694F" w:rsidRDefault="004B694F" w:rsidP="00B536BE"/>
          <w:p w14:paraId="3D1389B3" w14:textId="77777777" w:rsidR="004B694F" w:rsidRDefault="004B694F" w:rsidP="004B694F">
            <w:r>
              <w:t>S. Powers noted that Academic Affairs was planning an external review template and a Blue Reports Template that could help guide CAAC as well when they are completed.</w:t>
            </w:r>
          </w:p>
          <w:p w14:paraId="7384245A" w14:textId="77777777" w:rsidR="004B694F" w:rsidRDefault="004B694F" w:rsidP="004B694F"/>
          <w:p w14:paraId="25274578" w14:textId="77777777" w:rsidR="004B694F" w:rsidRDefault="004B694F" w:rsidP="004B694F">
            <w:r>
              <w:t xml:space="preserve">W. </w:t>
            </w:r>
            <w:proofErr w:type="spellStart"/>
            <w:r>
              <w:t>Nesser</w:t>
            </w:r>
            <w:proofErr w:type="spellEnd"/>
            <w:r>
              <w:t xml:space="preserve"> also offered that the Grad Council might be consulted on this as well.</w:t>
            </w:r>
          </w:p>
          <w:p w14:paraId="28AD3BF0" w14:textId="77777777" w:rsidR="004B694F" w:rsidRDefault="004B694F" w:rsidP="004B694F"/>
          <w:p w14:paraId="18EF63F8" w14:textId="61D58C98" w:rsidR="004B694F" w:rsidRDefault="004B694F" w:rsidP="004B694F">
            <w:r>
              <w:t>K. Wilkerson noted that it might be a good idea looking ahead to invite Kelly Woods Johnson to a future meeting, providing also perhaps a working draft of the external review template.</w:t>
            </w:r>
          </w:p>
        </w:tc>
        <w:tc>
          <w:tcPr>
            <w:tcW w:w="2528" w:type="dxa"/>
          </w:tcPr>
          <w:p w14:paraId="32DAED4C" w14:textId="77777777" w:rsidR="00EF68B8" w:rsidRDefault="00EF68B8" w:rsidP="00EF68B8"/>
        </w:tc>
      </w:tr>
      <w:tr w:rsidR="00EF68B8" w14:paraId="4C7CA9FD" w14:textId="77777777" w:rsidTr="004B694F">
        <w:tc>
          <w:tcPr>
            <w:tcW w:w="2250" w:type="dxa"/>
            <w:shd w:val="clear" w:color="auto" w:fill="9CC2E5" w:themeFill="accent1" w:themeFillTint="99"/>
          </w:tcPr>
          <w:p w14:paraId="439C1B8C" w14:textId="77777777" w:rsidR="00EF68B8" w:rsidRPr="00EF68B8" w:rsidRDefault="00EF68B8" w:rsidP="00EF68B8">
            <w:pPr>
              <w:rPr>
                <w:rFonts w:ascii="Calibri" w:eastAsia="Calibri" w:hAnsi="Calibri" w:cs="Calibri"/>
                <w:sz w:val="24"/>
                <w:szCs w:val="24"/>
              </w:rPr>
            </w:pPr>
          </w:p>
        </w:tc>
        <w:tc>
          <w:tcPr>
            <w:tcW w:w="5027" w:type="dxa"/>
            <w:shd w:val="clear" w:color="auto" w:fill="9CC2E5" w:themeFill="accent1" w:themeFillTint="99"/>
          </w:tcPr>
          <w:p w14:paraId="56D99B15" w14:textId="657C7240" w:rsidR="00EF68B8" w:rsidRPr="00EF68B8" w:rsidRDefault="00EF68B8" w:rsidP="00EF68B8">
            <w:pPr>
              <w:rPr>
                <w:rFonts w:ascii="Calibri" w:eastAsia="Calibri" w:hAnsi="Calibri" w:cs="Calibri"/>
                <w:sz w:val="24"/>
                <w:szCs w:val="24"/>
              </w:rPr>
            </w:pPr>
          </w:p>
        </w:tc>
        <w:tc>
          <w:tcPr>
            <w:tcW w:w="2528" w:type="dxa"/>
            <w:shd w:val="clear" w:color="auto" w:fill="9CC2E5" w:themeFill="accent1" w:themeFillTint="99"/>
          </w:tcPr>
          <w:p w14:paraId="751F4A92" w14:textId="77777777" w:rsidR="00EF68B8" w:rsidRPr="00EF68B8" w:rsidRDefault="00EF68B8" w:rsidP="00EF68B8">
            <w:pPr>
              <w:rPr>
                <w:rFonts w:ascii="Calibri" w:eastAsia="Calibri" w:hAnsi="Calibri" w:cs="Calibri"/>
                <w:sz w:val="24"/>
                <w:szCs w:val="24"/>
              </w:rPr>
            </w:pPr>
          </w:p>
        </w:tc>
      </w:tr>
      <w:tr w:rsidR="00EF68B8" w14:paraId="0562CB0E" w14:textId="77777777" w:rsidTr="00913488">
        <w:tc>
          <w:tcPr>
            <w:tcW w:w="2250" w:type="dxa"/>
          </w:tcPr>
          <w:p w14:paraId="34CE0A41" w14:textId="369EABFD" w:rsidR="00EF68B8" w:rsidRPr="00E70ECD" w:rsidRDefault="00EF68B8" w:rsidP="00EF68B8">
            <w:pPr>
              <w:pStyle w:val="ListParagraph"/>
              <w:numPr>
                <w:ilvl w:val="0"/>
                <w:numId w:val="3"/>
              </w:numPr>
              <w:rPr>
                <w:rFonts w:eastAsia="Times New Roman" w:cs="Times New Roman"/>
                <w:b/>
                <w:color w:val="000000"/>
              </w:rPr>
            </w:pPr>
            <w:r w:rsidRPr="00E70ECD">
              <w:rPr>
                <w:b/>
                <w:bCs/>
              </w:rPr>
              <w:lastRenderedPageBreak/>
              <w:t>Chair’s Report and Executive Action Items</w:t>
            </w:r>
          </w:p>
        </w:tc>
        <w:tc>
          <w:tcPr>
            <w:tcW w:w="5027" w:type="dxa"/>
          </w:tcPr>
          <w:p w14:paraId="62EBF3C5" w14:textId="090D3BBC" w:rsidR="00EF68B8" w:rsidRDefault="00EF68B8" w:rsidP="00EF68B8">
            <w:r>
              <w:t>No new tasks for next week.  Sent email to Associate Deans asking them to survey minors in their colleges for overlap with related majors.</w:t>
            </w:r>
          </w:p>
        </w:tc>
        <w:tc>
          <w:tcPr>
            <w:tcW w:w="2528" w:type="dxa"/>
          </w:tcPr>
          <w:p w14:paraId="6D98A12B" w14:textId="44EF94C4" w:rsidR="00EF68B8" w:rsidRDefault="00EF68B8" w:rsidP="00EF68B8"/>
        </w:tc>
      </w:tr>
      <w:tr w:rsidR="00EF68B8" w14:paraId="242E4A8F" w14:textId="77777777" w:rsidTr="00913488">
        <w:tc>
          <w:tcPr>
            <w:tcW w:w="2250" w:type="dxa"/>
            <w:shd w:val="clear" w:color="auto" w:fill="BDD6EE" w:themeFill="accent1" w:themeFillTint="66"/>
          </w:tcPr>
          <w:p w14:paraId="52E56223" w14:textId="77777777" w:rsidR="00EF68B8" w:rsidRPr="00022204" w:rsidRDefault="00EF68B8" w:rsidP="00EF68B8"/>
        </w:tc>
        <w:tc>
          <w:tcPr>
            <w:tcW w:w="5027" w:type="dxa"/>
            <w:shd w:val="clear" w:color="auto" w:fill="BDD6EE" w:themeFill="accent1" w:themeFillTint="66"/>
          </w:tcPr>
          <w:p w14:paraId="6DFB9E20" w14:textId="77777777" w:rsidR="00EF68B8" w:rsidRDefault="00EF68B8" w:rsidP="00EF68B8"/>
        </w:tc>
        <w:tc>
          <w:tcPr>
            <w:tcW w:w="2528" w:type="dxa"/>
            <w:shd w:val="clear" w:color="auto" w:fill="BDD6EE" w:themeFill="accent1" w:themeFillTint="66"/>
          </w:tcPr>
          <w:p w14:paraId="1DB5DCFB" w14:textId="15B9EFC6" w:rsidR="00EF68B8" w:rsidRDefault="00EF68B8" w:rsidP="00EF68B8"/>
        </w:tc>
      </w:tr>
      <w:tr w:rsidR="00EF68B8" w14:paraId="738610EB" w14:textId="77777777" w:rsidTr="00913488">
        <w:tc>
          <w:tcPr>
            <w:tcW w:w="2250" w:type="dxa"/>
          </w:tcPr>
          <w:p w14:paraId="637805D2" w14:textId="598D48FA" w:rsidR="00EF68B8" w:rsidRPr="00E70ECD" w:rsidRDefault="00EF68B8" w:rsidP="00EF68B8">
            <w:pPr>
              <w:pStyle w:val="ListParagraph"/>
              <w:numPr>
                <w:ilvl w:val="0"/>
                <w:numId w:val="3"/>
              </w:numPr>
              <w:rPr>
                <w:b/>
              </w:rPr>
            </w:pPr>
            <w:r>
              <w:rPr>
                <w:b/>
                <w:bCs/>
              </w:rPr>
              <w:t xml:space="preserve">Senate </w:t>
            </w:r>
            <w:r w:rsidRPr="00E70ECD">
              <w:rPr>
                <w:b/>
                <w:bCs/>
              </w:rPr>
              <w:t>Executive Committee Report</w:t>
            </w:r>
          </w:p>
        </w:tc>
        <w:tc>
          <w:tcPr>
            <w:tcW w:w="5027" w:type="dxa"/>
          </w:tcPr>
          <w:p w14:paraId="463F29E8" w14:textId="71A5F39A" w:rsidR="00EF68B8" w:rsidRDefault="00EF68B8" w:rsidP="00EF68B8">
            <w:r>
              <w:t>Senate Executive approved Dietetics and recently forwarded Math proposals, now on to full Senate.</w:t>
            </w:r>
          </w:p>
        </w:tc>
        <w:tc>
          <w:tcPr>
            <w:tcW w:w="2528" w:type="dxa"/>
          </w:tcPr>
          <w:p w14:paraId="3B7B4B86" w14:textId="7B0F6F8C" w:rsidR="00EF68B8" w:rsidRDefault="00EF68B8" w:rsidP="00EF68B8"/>
        </w:tc>
      </w:tr>
      <w:tr w:rsidR="00EF68B8" w14:paraId="627F0DBB" w14:textId="77777777" w:rsidTr="00913488">
        <w:tc>
          <w:tcPr>
            <w:tcW w:w="2250" w:type="dxa"/>
            <w:shd w:val="clear" w:color="auto" w:fill="BDD6EE" w:themeFill="accent1" w:themeFillTint="66"/>
          </w:tcPr>
          <w:p w14:paraId="5E258089" w14:textId="1EA8932C" w:rsidR="00EF68B8" w:rsidRPr="00E70ECD" w:rsidRDefault="00EF68B8" w:rsidP="00EF68B8">
            <w:pPr>
              <w:rPr>
                <w:b/>
                <w:bCs/>
              </w:rPr>
            </w:pPr>
          </w:p>
        </w:tc>
        <w:tc>
          <w:tcPr>
            <w:tcW w:w="5027" w:type="dxa"/>
            <w:shd w:val="clear" w:color="auto" w:fill="BDD6EE" w:themeFill="accent1" w:themeFillTint="66"/>
          </w:tcPr>
          <w:p w14:paraId="5AA6B9DB" w14:textId="4422CB7C" w:rsidR="00EF68B8" w:rsidRDefault="00EF68B8" w:rsidP="00EF68B8"/>
        </w:tc>
        <w:tc>
          <w:tcPr>
            <w:tcW w:w="2528" w:type="dxa"/>
            <w:shd w:val="clear" w:color="auto" w:fill="BDD6EE" w:themeFill="accent1" w:themeFillTint="66"/>
          </w:tcPr>
          <w:p w14:paraId="3A0FF5F2" w14:textId="05E53F59" w:rsidR="00EF68B8" w:rsidRDefault="00EF68B8" w:rsidP="00EF68B8"/>
        </w:tc>
      </w:tr>
      <w:tr w:rsidR="00EF68B8" w14:paraId="5630AD66" w14:textId="77777777" w:rsidTr="00913488">
        <w:tc>
          <w:tcPr>
            <w:tcW w:w="2250" w:type="dxa"/>
          </w:tcPr>
          <w:p w14:paraId="61829076" w14:textId="4CF29F41" w:rsidR="00EF68B8" w:rsidRPr="00E70ECD" w:rsidRDefault="00EF68B8" w:rsidP="00EF68B8">
            <w:pPr>
              <w:pStyle w:val="ListParagraph"/>
              <w:numPr>
                <w:ilvl w:val="0"/>
                <w:numId w:val="3"/>
              </w:numPr>
              <w:rPr>
                <w:b/>
              </w:rPr>
            </w:pPr>
            <w:r w:rsidRPr="00E70ECD">
              <w:rPr>
                <w:b/>
                <w:bCs/>
              </w:rPr>
              <w:t>Old Business</w:t>
            </w:r>
          </w:p>
        </w:tc>
        <w:tc>
          <w:tcPr>
            <w:tcW w:w="5027" w:type="dxa"/>
          </w:tcPr>
          <w:p w14:paraId="33198BA1" w14:textId="40AB6103" w:rsidR="00EF68B8" w:rsidRDefault="00EF68B8" w:rsidP="00EF68B8">
            <w:r>
              <w:t>NA</w:t>
            </w:r>
          </w:p>
          <w:p w14:paraId="2BA226A1" w14:textId="77777777" w:rsidR="00EF68B8" w:rsidRDefault="00EF68B8" w:rsidP="00EF68B8"/>
        </w:tc>
        <w:tc>
          <w:tcPr>
            <w:tcW w:w="2528" w:type="dxa"/>
          </w:tcPr>
          <w:p w14:paraId="17AD93B2" w14:textId="57AEE27E" w:rsidR="00EF68B8" w:rsidRDefault="00EF68B8" w:rsidP="00EF68B8"/>
        </w:tc>
      </w:tr>
      <w:tr w:rsidR="00EF68B8" w14:paraId="6481C582" w14:textId="77777777" w:rsidTr="00913488">
        <w:tc>
          <w:tcPr>
            <w:tcW w:w="2250" w:type="dxa"/>
            <w:shd w:val="clear" w:color="auto" w:fill="BDD6EE" w:themeFill="accent1" w:themeFillTint="66"/>
          </w:tcPr>
          <w:p w14:paraId="213A52DA" w14:textId="24291F00" w:rsidR="00EF68B8" w:rsidRPr="00E70ECD" w:rsidRDefault="00EF68B8" w:rsidP="00EF68B8">
            <w:pPr>
              <w:rPr>
                <w:b/>
                <w:bCs/>
              </w:rPr>
            </w:pPr>
          </w:p>
        </w:tc>
        <w:tc>
          <w:tcPr>
            <w:tcW w:w="5027" w:type="dxa"/>
            <w:shd w:val="clear" w:color="auto" w:fill="BDD6EE" w:themeFill="accent1" w:themeFillTint="66"/>
          </w:tcPr>
          <w:p w14:paraId="39609875" w14:textId="20532686" w:rsidR="00EF68B8" w:rsidRDefault="00EF68B8" w:rsidP="00EF68B8"/>
        </w:tc>
        <w:tc>
          <w:tcPr>
            <w:tcW w:w="2528" w:type="dxa"/>
            <w:shd w:val="clear" w:color="auto" w:fill="BDD6EE" w:themeFill="accent1" w:themeFillTint="66"/>
          </w:tcPr>
          <w:p w14:paraId="0DE4B5B7" w14:textId="5897095B" w:rsidR="00EF68B8" w:rsidRDefault="00EF68B8" w:rsidP="00EF68B8"/>
        </w:tc>
      </w:tr>
      <w:tr w:rsidR="00EF68B8" w14:paraId="66204FF1" w14:textId="77777777" w:rsidTr="00913488">
        <w:tc>
          <w:tcPr>
            <w:tcW w:w="2250" w:type="dxa"/>
          </w:tcPr>
          <w:p w14:paraId="2DBF0D7D" w14:textId="354ED767" w:rsidR="00EF68B8" w:rsidRPr="00E70ECD" w:rsidRDefault="00EF68B8" w:rsidP="00EF68B8">
            <w:pPr>
              <w:rPr>
                <w:b/>
              </w:rPr>
            </w:pPr>
            <w:r w:rsidRPr="00E70ECD">
              <w:rPr>
                <w:b/>
                <w:bCs/>
              </w:rPr>
              <w:t>Adjournment</w:t>
            </w:r>
          </w:p>
        </w:tc>
        <w:tc>
          <w:tcPr>
            <w:tcW w:w="5027" w:type="dxa"/>
          </w:tcPr>
          <w:p w14:paraId="6B62F1B3" w14:textId="14EDD1D1" w:rsidR="00EF68B8" w:rsidRDefault="00EF68B8" w:rsidP="00B536BE">
            <w:r>
              <w:t xml:space="preserve">Meeting adjourned  </w:t>
            </w:r>
            <w:r w:rsidR="00B536BE">
              <w:t>1: 25 PM</w:t>
            </w:r>
          </w:p>
        </w:tc>
        <w:tc>
          <w:tcPr>
            <w:tcW w:w="2528" w:type="dxa"/>
          </w:tcPr>
          <w:p w14:paraId="1F5C4F15" w14:textId="78A49C1E" w:rsidR="00EF68B8" w:rsidRDefault="00EF68B8" w:rsidP="00EF68B8">
            <w:r>
              <w:t xml:space="preserve">Motion by </w:t>
            </w:r>
            <w:r w:rsidR="00B536BE">
              <w:t>R. Bauer</w:t>
            </w:r>
            <w:proofErr w:type="gramStart"/>
            <w:r w:rsidR="00B536BE">
              <w:t xml:space="preserve">, </w:t>
            </w:r>
            <w:r>
              <w:t xml:space="preserve"> </w:t>
            </w:r>
            <w:r w:rsidR="00B536BE">
              <w:t>second</w:t>
            </w:r>
            <w:proofErr w:type="gramEnd"/>
            <w:r w:rsidR="00B536BE">
              <w:t xml:space="preserve"> by J. Kinne.</w:t>
            </w:r>
          </w:p>
          <w:p w14:paraId="02F2C34E" w14:textId="77777777" w:rsidR="00EF68B8" w:rsidRDefault="00EF68B8" w:rsidP="00EF68B8"/>
        </w:tc>
      </w:tr>
      <w:tr w:rsidR="00EF68B8" w14:paraId="362DD996" w14:textId="77777777" w:rsidTr="00913488">
        <w:tc>
          <w:tcPr>
            <w:tcW w:w="2250" w:type="dxa"/>
          </w:tcPr>
          <w:p w14:paraId="0B7F62C4" w14:textId="7B33EE8D" w:rsidR="00EF68B8" w:rsidRPr="00E70ECD" w:rsidRDefault="00EF68B8" w:rsidP="00EF68B8">
            <w:pPr>
              <w:rPr>
                <w:b/>
                <w:bCs/>
              </w:rPr>
            </w:pPr>
          </w:p>
        </w:tc>
        <w:tc>
          <w:tcPr>
            <w:tcW w:w="5027" w:type="dxa"/>
          </w:tcPr>
          <w:p w14:paraId="3F9E6051" w14:textId="6F78752B" w:rsidR="00EF68B8" w:rsidRDefault="00EF68B8" w:rsidP="00EF68B8"/>
        </w:tc>
        <w:tc>
          <w:tcPr>
            <w:tcW w:w="2528" w:type="dxa"/>
          </w:tcPr>
          <w:p w14:paraId="5A7C8996" w14:textId="44FE3925" w:rsidR="00EF68B8" w:rsidRDefault="00EF68B8" w:rsidP="00EF68B8"/>
        </w:tc>
      </w:tr>
    </w:tbl>
    <w:p w14:paraId="680A4E5D" w14:textId="77777777" w:rsidR="009017F3" w:rsidRPr="009017F3" w:rsidRDefault="009017F3" w:rsidP="009017F3"/>
    <w:sectPr w:rsidR="009017F3" w:rsidRPr="009017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194E8" w14:textId="77777777" w:rsidR="008A7C2B" w:rsidRDefault="008A7C2B" w:rsidP="000F6CD0">
      <w:pPr>
        <w:spacing w:after="0" w:line="240" w:lineRule="auto"/>
      </w:pPr>
      <w:r>
        <w:separator/>
      </w:r>
    </w:p>
  </w:endnote>
  <w:endnote w:type="continuationSeparator" w:id="0">
    <w:p w14:paraId="28F70045" w14:textId="77777777" w:rsidR="008A7C2B" w:rsidRDefault="008A7C2B" w:rsidP="000F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serif">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488F1" w14:textId="77777777" w:rsidR="008A7C2B" w:rsidRDefault="008A7C2B" w:rsidP="000F6CD0">
      <w:pPr>
        <w:spacing w:after="0" w:line="240" w:lineRule="auto"/>
      </w:pPr>
      <w:r>
        <w:separator/>
      </w:r>
    </w:p>
  </w:footnote>
  <w:footnote w:type="continuationSeparator" w:id="0">
    <w:p w14:paraId="4E329354" w14:textId="77777777" w:rsidR="008A7C2B" w:rsidRDefault="008A7C2B" w:rsidP="000F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2F1F" w14:textId="77777777" w:rsidR="008F7618" w:rsidRDefault="008F7618">
    <w:pPr>
      <w:pStyle w:val="Header"/>
    </w:pPr>
    <w:r>
      <w:t xml:space="preserve">                                                                                                                                                                   </w:t>
    </w:r>
    <w:proofErr w:type="gramStart"/>
    <w:r>
      <w:t>unapproved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41CD"/>
    <w:multiLevelType w:val="hybridMultilevel"/>
    <w:tmpl w:val="6D20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1C61"/>
    <w:multiLevelType w:val="hybridMultilevel"/>
    <w:tmpl w:val="2A3223A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E4672"/>
    <w:multiLevelType w:val="hybridMultilevel"/>
    <w:tmpl w:val="DF58B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F5E96"/>
    <w:multiLevelType w:val="hybridMultilevel"/>
    <w:tmpl w:val="7F6A7996"/>
    <w:lvl w:ilvl="0" w:tplc="384E867A">
      <w:start w:val="1"/>
      <w:numFmt w:val="decimal"/>
      <w:lvlText w:val="%1)"/>
      <w:lvlJc w:val="left"/>
      <w:pPr>
        <w:ind w:left="720" w:hanging="360"/>
      </w:pPr>
      <w:rPr>
        <w:rFonts w:ascii="Times New Roman ,serif" w:hAnsi="Times New Roman ,serif" w:cs="Times New Roman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A0243"/>
    <w:multiLevelType w:val="hybridMultilevel"/>
    <w:tmpl w:val="BD52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43774"/>
    <w:multiLevelType w:val="hybridMultilevel"/>
    <w:tmpl w:val="856E39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04231"/>
    <w:multiLevelType w:val="hybridMultilevel"/>
    <w:tmpl w:val="76AC4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62877"/>
    <w:multiLevelType w:val="hybridMultilevel"/>
    <w:tmpl w:val="C73E1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F3"/>
    <w:rsid w:val="00000F82"/>
    <w:rsid w:val="00012380"/>
    <w:rsid w:val="00017E93"/>
    <w:rsid w:val="00022204"/>
    <w:rsid w:val="000561E0"/>
    <w:rsid w:val="000856DA"/>
    <w:rsid w:val="000A4AA6"/>
    <w:rsid w:val="000A66E9"/>
    <w:rsid w:val="000C0034"/>
    <w:rsid w:val="000D27D6"/>
    <w:rsid w:val="000F6CD0"/>
    <w:rsid w:val="00151968"/>
    <w:rsid w:val="00166088"/>
    <w:rsid w:val="001973F4"/>
    <w:rsid w:val="001C1858"/>
    <w:rsid w:val="001C3488"/>
    <w:rsid w:val="001C4F2F"/>
    <w:rsid w:val="001D7500"/>
    <w:rsid w:val="0022031A"/>
    <w:rsid w:val="00253FCC"/>
    <w:rsid w:val="00276177"/>
    <w:rsid w:val="002B411B"/>
    <w:rsid w:val="002B5CA4"/>
    <w:rsid w:val="002D0103"/>
    <w:rsid w:val="002E6364"/>
    <w:rsid w:val="003012FE"/>
    <w:rsid w:val="00351490"/>
    <w:rsid w:val="00364EBA"/>
    <w:rsid w:val="003812D1"/>
    <w:rsid w:val="0038538E"/>
    <w:rsid w:val="003E11FD"/>
    <w:rsid w:val="003E41C6"/>
    <w:rsid w:val="004014F1"/>
    <w:rsid w:val="00407B02"/>
    <w:rsid w:val="0043475E"/>
    <w:rsid w:val="00455410"/>
    <w:rsid w:val="004B694F"/>
    <w:rsid w:val="004D4025"/>
    <w:rsid w:val="004F0223"/>
    <w:rsid w:val="004F309C"/>
    <w:rsid w:val="0050097A"/>
    <w:rsid w:val="005169A8"/>
    <w:rsid w:val="0053490F"/>
    <w:rsid w:val="0057452D"/>
    <w:rsid w:val="00584894"/>
    <w:rsid w:val="005F79B1"/>
    <w:rsid w:val="00645174"/>
    <w:rsid w:val="006576C1"/>
    <w:rsid w:val="006A4890"/>
    <w:rsid w:val="006F44F9"/>
    <w:rsid w:val="0071310B"/>
    <w:rsid w:val="00747BEE"/>
    <w:rsid w:val="00897AA3"/>
    <w:rsid w:val="008A7C2B"/>
    <w:rsid w:val="008C36E6"/>
    <w:rsid w:val="008E7E90"/>
    <w:rsid w:val="008F7618"/>
    <w:rsid w:val="009017F3"/>
    <w:rsid w:val="00913488"/>
    <w:rsid w:val="00927325"/>
    <w:rsid w:val="0093383D"/>
    <w:rsid w:val="00935DDE"/>
    <w:rsid w:val="00936ACA"/>
    <w:rsid w:val="00963EA6"/>
    <w:rsid w:val="009673A6"/>
    <w:rsid w:val="00967E2D"/>
    <w:rsid w:val="00995780"/>
    <w:rsid w:val="009A37AE"/>
    <w:rsid w:val="009C0400"/>
    <w:rsid w:val="009D303D"/>
    <w:rsid w:val="00A162A6"/>
    <w:rsid w:val="00A80FC4"/>
    <w:rsid w:val="00A830E0"/>
    <w:rsid w:val="00A9516D"/>
    <w:rsid w:val="00AC76C2"/>
    <w:rsid w:val="00AE635A"/>
    <w:rsid w:val="00B536BE"/>
    <w:rsid w:val="00C15BAA"/>
    <w:rsid w:val="00C166F7"/>
    <w:rsid w:val="00CD2D2D"/>
    <w:rsid w:val="00CE152A"/>
    <w:rsid w:val="00CE4364"/>
    <w:rsid w:val="00D17D86"/>
    <w:rsid w:val="00D31153"/>
    <w:rsid w:val="00D34E94"/>
    <w:rsid w:val="00D46A5E"/>
    <w:rsid w:val="00D520F6"/>
    <w:rsid w:val="00D6367E"/>
    <w:rsid w:val="00D87610"/>
    <w:rsid w:val="00DC141D"/>
    <w:rsid w:val="00E17628"/>
    <w:rsid w:val="00E22D61"/>
    <w:rsid w:val="00E24EE6"/>
    <w:rsid w:val="00E57DA4"/>
    <w:rsid w:val="00E70ECD"/>
    <w:rsid w:val="00E95AC2"/>
    <w:rsid w:val="00E968C2"/>
    <w:rsid w:val="00EC4256"/>
    <w:rsid w:val="00EF68B8"/>
    <w:rsid w:val="00F21AA0"/>
    <w:rsid w:val="00F47433"/>
    <w:rsid w:val="00F47550"/>
    <w:rsid w:val="00F7766F"/>
    <w:rsid w:val="00FA07FF"/>
    <w:rsid w:val="00FA454B"/>
    <w:rsid w:val="00FB4F82"/>
    <w:rsid w:val="00FC467E"/>
    <w:rsid w:val="00FF454E"/>
    <w:rsid w:val="081EA8A9"/>
    <w:rsid w:val="1A074E58"/>
    <w:rsid w:val="1C078F83"/>
    <w:rsid w:val="55199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60D6"/>
  <w15:chartTrackingRefBased/>
  <w15:docId w15:val="{7578E65F-3699-4697-81F3-C0BF4A83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7F3"/>
    <w:pPr>
      <w:ind w:left="720"/>
      <w:contextualSpacing/>
    </w:pPr>
  </w:style>
  <w:style w:type="paragraph" w:styleId="Header">
    <w:name w:val="header"/>
    <w:basedOn w:val="Normal"/>
    <w:link w:val="HeaderChar"/>
    <w:uiPriority w:val="99"/>
    <w:unhideWhenUsed/>
    <w:rsid w:val="000F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D0"/>
  </w:style>
  <w:style w:type="paragraph" w:styleId="Footer">
    <w:name w:val="footer"/>
    <w:basedOn w:val="Normal"/>
    <w:link w:val="FooterChar"/>
    <w:uiPriority w:val="99"/>
    <w:unhideWhenUsed/>
    <w:rsid w:val="000F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0109">
      <w:bodyDiv w:val="1"/>
      <w:marLeft w:val="0"/>
      <w:marRight w:val="0"/>
      <w:marTop w:val="0"/>
      <w:marBottom w:val="0"/>
      <w:divBdr>
        <w:top w:val="none" w:sz="0" w:space="0" w:color="auto"/>
        <w:left w:val="none" w:sz="0" w:space="0" w:color="auto"/>
        <w:bottom w:val="none" w:sz="0" w:space="0" w:color="auto"/>
        <w:right w:val="none" w:sz="0" w:space="0" w:color="auto"/>
      </w:divBdr>
    </w:div>
    <w:div w:id="376005710">
      <w:bodyDiv w:val="1"/>
      <w:marLeft w:val="0"/>
      <w:marRight w:val="0"/>
      <w:marTop w:val="0"/>
      <w:marBottom w:val="0"/>
      <w:divBdr>
        <w:top w:val="none" w:sz="0" w:space="0" w:color="auto"/>
        <w:left w:val="none" w:sz="0" w:space="0" w:color="auto"/>
        <w:bottom w:val="none" w:sz="0" w:space="0" w:color="auto"/>
        <w:right w:val="none" w:sz="0" w:space="0" w:color="auto"/>
      </w:divBdr>
    </w:div>
    <w:div w:id="584151169">
      <w:bodyDiv w:val="1"/>
      <w:marLeft w:val="0"/>
      <w:marRight w:val="0"/>
      <w:marTop w:val="0"/>
      <w:marBottom w:val="0"/>
      <w:divBdr>
        <w:top w:val="none" w:sz="0" w:space="0" w:color="auto"/>
        <w:left w:val="none" w:sz="0" w:space="0" w:color="auto"/>
        <w:bottom w:val="none" w:sz="0" w:space="0" w:color="auto"/>
        <w:right w:val="none" w:sz="0" w:space="0" w:color="auto"/>
      </w:divBdr>
    </w:div>
    <w:div w:id="719790217">
      <w:bodyDiv w:val="1"/>
      <w:marLeft w:val="0"/>
      <w:marRight w:val="0"/>
      <w:marTop w:val="0"/>
      <w:marBottom w:val="0"/>
      <w:divBdr>
        <w:top w:val="none" w:sz="0" w:space="0" w:color="auto"/>
        <w:left w:val="none" w:sz="0" w:space="0" w:color="auto"/>
        <w:bottom w:val="none" w:sz="0" w:space="0" w:color="auto"/>
        <w:right w:val="none" w:sz="0" w:space="0" w:color="auto"/>
      </w:divBdr>
    </w:div>
    <w:div w:id="1049763460">
      <w:bodyDiv w:val="1"/>
      <w:marLeft w:val="0"/>
      <w:marRight w:val="0"/>
      <w:marTop w:val="0"/>
      <w:marBottom w:val="0"/>
      <w:divBdr>
        <w:top w:val="none" w:sz="0" w:space="0" w:color="auto"/>
        <w:left w:val="none" w:sz="0" w:space="0" w:color="auto"/>
        <w:bottom w:val="none" w:sz="0" w:space="0" w:color="auto"/>
        <w:right w:val="none" w:sz="0" w:space="0" w:color="auto"/>
      </w:divBdr>
    </w:div>
    <w:div w:id="1339700988">
      <w:bodyDiv w:val="1"/>
      <w:marLeft w:val="0"/>
      <w:marRight w:val="0"/>
      <w:marTop w:val="0"/>
      <w:marBottom w:val="0"/>
      <w:divBdr>
        <w:top w:val="none" w:sz="0" w:space="0" w:color="auto"/>
        <w:left w:val="none" w:sz="0" w:space="0" w:color="auto"/>
        <w:bottom w:val="none" w:sz="0" w:space="0" w:color="auto"/>
        <w:right w:val="none" w:sz="0" w:space="0" w:color="auto"/>
      </w:divBdr>
    </w:div>
    <w:div w:id="1385328547">
      <w:bodyDiv w:val="1"/>
      <w:marLeft w:val="0"/>
      <w:marRight w:val="0"/>
      <w:marTop w:val="0"/>
      <w:marBottom w:val="0"/>
      <w:divBdr>
        <w:top w:val="none" w:sz="0" w:space="0" w:color="auto"/>
        <w:left w:val="none" w:sz="0" w:space="0" w:color="auto"/>
        <w:bottom w:val="none" w:sz="0" w:space="0" w:color="auto"/>
        <w:right w:val="none" w:sz="0" w:space="0" w:color="auto"/>
      </w:divBdr>
    </w:div>
    <w:div w:id="1817068568">
      <w:bodyDiv w:val="1"/>
      <w:marLeft w:val="0"/>
      <w:marRight w:val="0"/>
      <w:marTop w:val="0"/>
      <w:marBottom w:val="0"/>
      <w:divBdr>
        <w:top w:val="none" w:sz="0" w:space="0" w:color="auto"/>
        <w:left w:val="none" w:sz="0" w:space="0" w:color="auto"/>
        <w:bottom w:val="none" w:sz="0" w:space="0" w:color="auto"/>
        <w:right w:val="none" w:sz="0" w:space="0" w:color="auto"/>
      </w:divBdr>
    </w:div>
    <w:div w:id="1825395777">
      <w:bodyDiv w:val="1"/>
      <w:marLeft w:val="0"/>
      <w:marRight w:val="0"/>
      <w:marTop w:val="0"/>
      <w:marBottom w:val="0"/>
      <w:divBdr>
        <w:top w:val="none" w:sz="0" w:space="0" w:color="auto"/>
        <w:left w:val="none" w:sz="0" w:space="0" w:color="auto"/>
        <w:bottom w:val="none" w:sz="0" w:space="0" w:color="auto"/>
        <w:right w:val="none" w:sz="0" w:space="0" w:color="auto"/>
      </w:divBdr>
    </w:div>
    <w:div w:id="20135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06BA9-B271-4D3C-A6CB-E889AA4B6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16E73-32F3-4716-B6C4-FAB8FF440ADB}">
  <ds:schemaRefs>
    <ds:schemaRef ds:uri="http://schemas.microsoft.com/sharepoint/v3/contenttype/forms"/>
  </ds:schemaRefs>
</ds:datastoreItem>
</file>

<file path=customXml/itemProps3.xml><?xml version="1.0" encoding="utf-8"?>
<ds:datastoreItem xmlns:ds="http://schemas.openxmlformats.org/officeDocument/2006/customXml" ds:itemID="{5F4A6E8E-9418-46D0-8480-CD65AC4456EC}">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baf45800-202a-4d04-9eb1-dcead2d857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Potts</dc:creator>
  <cp:keywords/>
  <dc:description/>
  <cp:lastModifiedBy>Joie Harney</cp:lastModifiedBy>
  <cp:revision>2</cp:revision>
  <dcterms:created xsi:type="dcterms:W3CDTF">2019-12-09T15:54:00Z</dcterms:created>
  <dcterms:modified xsi:type="dcterms:W3CDTF">2019-12-09T15:54:00Z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