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1679C" w14:textId="77777777" w:rsidR="009017F3" w:rsidRPr="009C1048" w:rsidRDefault="009017F3" w:rsidP="009017F3">
      <w:pPr>
        <w:spacing w:after="0" w:line="240" w:lineRule="auto"/>
        <w:jc w:val="center"/>
        <w:rPr>
          <w:rFonts w:eastAsia="Times New Roman"/>
          <w:b/>
          <w:sz w:val="28"/>
          <w:szCs w:val="28"/>
        </w:rPr>
      </w:pPr>
      <w:bookmarkStart w:id="0" w:name="_GoBack"/>
      <w:bookmarkEnd w:id="0"/>
      <w:r w:rsidRPr="009C1048">
        <w:rPr>
          <w:rFonts w:eastAsia="Times New Roman"/>
          <w:b/>
          <w:sz w:val="28"/>
          <w:szCs w:val="28"/>
        </w:rPr>
        <w:t>University Curriculum and Academic Affairs Committee</w:t>
      </w:r>
    </w:p>
    <w:p w14:paraId="2BF95D21" w14:textId="77777777" w:rsidR="009017F3" w:rsidRDefault="009017F3" w:rsidP="009017F3">
      <w:pPr>
        <w:spacing w:after="0" w:line="240" w:lineRule="auto"/>
        <w:jc w:val="center"/>
        <w:rPr>
          <w:rFonts w:eastAsia="Times New Roman"/>
          <w:b/>
          <w:sz w:val="28"/>
          <w:szCs w:val="28"/>
        </w:rPr>
      </w:pPr>
      <w:r w:rsidRPr="009C1048">
        <w:rPr>
          <w:rFonts w:eastAsia="Times New Roman"/>
          <w:b/>
          <w:sz w:val="28"/>
          <w:szCs w:val="28"/>
        </w:rPr>
        <w:t>UCAAC</w:t>
      </w:r>
    </w:p>
    <w:p w14:paraId="1F91BD1C" w14:textId="0F39C28F" w:rsidR="00351490" w:rsidRDefault="081EA8A9" w:rsidP="081EA8A9">
      <w:pPr>
        <w:spacing w:after="0" w:line="240" w:lineRule="auto"/>
        <w:jc w:val="center"/>
        <w:rPr>
          <w:rFonts w:eastAsia="Times New Roman"/>
          <w:b/>
          <w:bCs/>
          <w:sz w:val="28"/>
          <w:szCs w:val="28"/>
        </w:rPr>
      </w:pPr>
      <w:r w:rsidRPr="081EA8A9">
        <w:rPr>
          <w:b/>
          <w:bCs/>
        </w:rPr>
        <w:t xml:space="preserve">Meeting # </w:t>
      </w:r>
      <w:r w:rsidR="00197293">
        <w:rPr>
          <w:b/>
          <w:bCs/>
        </w:rPr>
        <w:t>6</w:t>
      </w:r>
    </w:p>
    <w:p w14:paraId="6B551E9D" w14:textId="07DBA05B" w:rsidR="00351490" w:rsidRPr="007B4915" w:rsidRDefault="00935DDE" w:rsidP="081EA8A9">
      <w:pPr>
        <w:spacing w:after="0" w:line="240" w:lineRule="auto"/>
        <w:jc w:val="center"/>
        <w:rPr>
          <w:b/>
          <w:bCs/>
        </w:rPr>
      </w:pPr>
      <w:r>
        <w:rPr>
          <w:b/>
          <w:bCs/>
        </w:rPr>
        <w:t xml:space="preserve">November </w:t>
      </w:r>
      <w:r w:rsidR="00D164AA">
        <w:rPr>
          <w:b/>
          <w:bCs/>
        </w:rPr>
        <w:t>19</w:t>
      </w:r>
      <w:r w:rsidR="081EA8A9" w:rsidRPr="081EA8A9">
        <w:rPr>
          <w:b/>
          <w:bCs/>
        </w:rPr>
        <w:t>, 2019</w:t>
      </w:r>
    </w:p>
    <w:p w14:paraId="047C8F08" w14:textId="4FEAD729" w:rsidR="00351490" w:rsidRDefault="00351490" w:rsidP="00351490">
      <w:pPr>
        <w:spacing w:after="0" w:line="240" w:lineRule="auto"/>
        <w:jc w:val="center"/>
        <w:rPr>
          <w:b/>
        </w:rPr>
      </w:pPr>
      <w:r w:rsidRPr="007B4915">
        <w:rPr>
          <w:b/>
        </w:rPr>
        <w:t>Stalker Hall, Room 211</w:t>
      </w:r>
    </w:p>
    <w:p w14:paraId="7F4D14C9" w14:textId="77777777" w:rsidR="00935DDE" w:rsidRPr="007B4915" w:rsidRDefault="00935DDE" w:rsidP="00351490">
      <w:pPr>
        <w:spacing w:after="0" w:line="240" w:lineRule="auto"/>
        <w:jc w:val="center"/>
        <w:rPr>
          <w:b/>
        </w:rPr>
      </w:pPr>
    </w:p>
    <w:p w14:paraId="0C13EAF7" w14:textId="52A5CC8D" w:rsidR="00D164AA" w:rsidRDefault="00351490" w:rsidP="00276177">
      <w:r w:rsidRPr="009C1048">
        <w:rPr>
          <w:b/>
        </w:rPr>
        <w:t>CAAC Members Present</w:t>
      </w:r>
      <w:r>
        <w:t>:</w:t>
      </w:r>
      <w:r w:rsidR="009C0400" w:rsidRPr="009C0400">
        <w:t xml:space="preserve">, Dan Clark, Margaret Hill, Jeff Kinne, Winnie Ko, Andrew Payne, Blake </w:t>
      </w:r>
      <w:proofErr w:type="spellStart"/>
      <w:r w:rsidR="009C0400" w:rsidRPr="009C0400">
        <w:t>Rayfield</w:t>
      </w:r>
      <w:proofErr w:type="spellEnd"/>
      <w:r w:rsidR="009C0400" w:rsidRPr="009C0400">
        <w:t>, Edith Wittenmyer</w:t>
      </w:r>
      <w:r w:rsidR="00276177">
        <w:rPr>
          <w:rFonts w:ascii="Times New Roman" w:eastAsia="Times New Roman" w:hAnsi="Times New Roman" w:cs="Times New Roman"/>
          <w:sz w:val="24"/>
          <w:szCs w:val="24"/>
        </w:rPr>
        <w:br/>
      </w:r>
      <w:r w:rsidRPr="009C1048">
        <w:rPr>
          <w:b/>
        </w:rPr>
        <w:t>Absent:</w:t>
      </w:r>
      <w:r w:rsidR="005F79B1">
        <w:t xml:space="preserve"> </w:t>
      </w:r>
      <w:r w:rsidR="00276177">
        <w:t>-</w:t>
      </w:r>
      <w:r w:rsidR="00D164AA" w:rsidRPr="00D164AA">
        <w:t xml:space="preserve"> </w:t>
      </w:r>
      <w:r w:rsidR="00D164AA" w:rsidRPr="009C0400">
        <w:t>Brian Schaefer</w:t>
      </w:r>
      <w:r w:rsidR="00D164AA">
        <w:t>,</w:t>
      </w:r>
      <w:r w:rsidR="00D164AA" w:rsidRPr="00D164AA">
        <w:t xml:space="preserve"> </w:t>
      </w:r>
      <w:r w:rsidR="00D164AA" w:rsidRPr="009C0400">
        <w:t>Renee Bauer</w:t>
      </w:r>
      <w:r w:rsidR="00BC288E">
        <w:t>, Shawn Phillips</w:t>
      </w:r>
      <w:r w:rsidR="00276177">
        <w:rPr>
          <w:rFonts w:ascii="Times New Roman" w:eastAsia="Times New Roman" w:hAnsi="Times New Roman" w:cs="Times New Roman"/>
          <w:sz w:val="24"/>
          <w:szCs w:val="24"/>
        </w:rPr>
        <w:br/>
      </w:r>
      <w:r>
        <w:rPr>
          <w:b/>
        </w:rPr>
        <w:t>Guest</w:t>
      </w:r>
      <w:r w:rsidR="005F79B1">
        <w:t xml:space="preserve">: </w:t>
      </w:r>
      <w:r w:rsidR="00276177">
        <w:t>-</w:t>
      </w:r>
      <w:r w:rsidR="00D164AA">
        <w:t xml:space="preserve">Andreas </w:t>
      </w:r>
      <w:proofErr w:type="spellStart"/>
      <w:r w:rsidR="00D164AA">
        <w:t>Kummerow</w:t>
      </w:r>
      <w:proofErr w:type="spellEnd"/>
      <w:r w:rsidR="00D164AA">
        <w:t xml:space="preserve"> and Kelley Woods-Johnson</w:t>
      </w:r>
      <w:r w:rsidR="00276177">
        <w:rPr>
          <w:rFonts w:ascii="Times New Roman" w:eastAsia="Times New Roman" w:hAnsi="Times New Roman" w:cs="Times New Roman"/>
          <w:sz w:val="24"/>
          <w:szCs w:val="24"/>
        </w:rPr>
        <w:br/>
      </w:r>
      <w:r w:rsidRPr="002F4D21">
        <w:rPr>
          <w:b/>
        </w:rPr>
        <w:t>Executive Committee</w:t>
      </w:r>
      <w:r>
        <w:t xml:space="preserve"> </w:t>
      </w:r>
      <w:r w:rsidRPr="002F4D21">
        <w:rPr>
          <w:b/>
        </w:rPr>
        <w:t>Lia</w:t>
      </w:r>
      <w:r w:rsidR="0050097A">
        <w:rPr>
          <w:b/>
        </w:rPr>
        <w:t>i</w:t>
      </w:r>
      <w:r w:rsidRPr="002F4D21">
        <w:rPr>
          <w:b/>
        </w:rPr>
        <w:t>son</w:t>
      </w:r>
      <w:r>
        <w:t xml:space="preserve">: </w:t>
      </w:r>
      <w:r w:rsidR="009C0400">
        <w:t>Shawn Phillips</w:t>
      </w:r>
      <w:r w:rsidR="00276177">
        <w:rPr>
          <w:rFonts w:ascii="Times New Roman" w:eastAsia="Times New Roman" w:hAnsi="Times New Roman" w:cs="Times New Roman"/>
          <w:sz w:val="24"/>
          <w:szCs w:val="24"/>
        </w:rPr>
        <w:br/>
      </w:r>
      <w:r>
        <w:rPr>
          <w:b/>
        </w:rPr>
        <w:t>Ex Officio</w:t>
      </w:r>
      <w:r w:rsidRPr="00BA42E1">
        <w:t xml:space="preserve">: </w:t>
      </w:r>
      <w:r w:rsidR="0057452D">
        <w:t xml:space="preserve">present – Whitney </w:t>
      </w:r>
      <w:proofErr w:type="spellStart"/>
      <w:r w:rsidR="0057452D">
        <w:t>Nesser</w:t>
      </w:r>
      <w:proofErr w:type="spellEnd"/>
      <w:r w:rsidR="0057452D">
        <w:t xml:space="preserve">, </w:t>
      </w:r>
      <w:r w:rsidR="00935DDE">
        <w:t xml:space="preserve">Susan Powers, </w:t>
      </w:r>
      <w:r w:rsidR="0057452D">
        <w:t>Angie Smith</w:t>
      </w:r>
      <w:r w:rsidR="00935DDE">
        <w:t>,</w:t>
      </w:r>
      <w:r w:rsidR="00935DDE" w:rsidRPr="00935DDE">
        <w:t xml:space="preserve"> </w:t>
      </w:r>
      <w:r w:rsidR="00D164AA">
        <w:t xml:space="preserve">Judy </w:t>
      </w:r>
      <w:proofErr w:type="spellStart"/>
      <w:r w:rsidR="00D164AA">
        <w:t>Sheese</w:t>
      </w:r>
      <w:proofErr w:type="spellEnd"/>
      <w:r w:rsidR="00935DDE">
        <w:t xml:space="preserve">.  </w:t>
      </w:r>
    </w:p>
    <w:p w14:paraId="38B4F77C" w14:textId="544EA5A4" w:rsidR="009D303D" w:rsidRPr="00276177" w:rsidRDefault="00935DDE" w:rsidP="00276177">
      <w:pPr>
        <w:rPr>
          <w:rFonts w:ascii="Times New Roman" w:eastAsia="Times New Roman" w:hAnsi="Times New Roman" w:cs="Times New Roman"/>
          <w:sz w:val="24"/>
          <w:szCs w:val="24"/>
        </w:rPr>
      </w:pPr>
      <w:r>
        <w:t>Absent but ke</w:t>
      </w:r>
      <w:r w:rsidR="0057452D">
        <w:t>p</w:t>
      </w:r>
      <w:r>
        <w:t>t</w:t>
      </w:r>
      <w:r w:rsidR="0057452D">
        <w:t xml:space="preserve"> on the weekly invitation –</w:t>
      </w:r>
      <w:r w:rsidR="009C0400">
        <w:t xml:space="preserve">Jim Smallwood, Linda Sperry, </w:t>
      </w:r>
      <w:r w:rsidR="00D164AA" w:rsidRPr="00BA42E1">
        <w:t>Kelly Wilkinson</w:t>
      </w:r>
      <w:r w:rsidR="00D164AA">
        <w:t xml:space="preserve">, </w:t>
      </w:r>
      <w:r w:rsidR="00D164AA" w:rsidRPr="00BA42E1">
        <w:t xml:space="preserve">Bassam </w:t>
      </w:r>
      <w:proofErr w:type="spellStart"/>
      <w:r w:rsidR="00D164AA" w:rsidRPr="00BA42E1">
        <w:t>Yousif</w:t>
      </w:r>
      <w:proofErr w:type="spellEnd"/>
      <w:r w:rsidR="005B1E5F">
        <w:t>, Jamie Hays</w:t>
      </w:r>
    </w:p>
    <w:tbl>
      <w:tblPr>
        <w:tblStyle w:val="TableGrid"/>
        <w:tblW w:w="9805" w:type="dxa"/>
        <w:tblLook w:val="04A0" w:firstRow="1" w:lastRow="0" w:firstColumn="1" w:lastColumn="0" w:noHBand="0" w:noVBand="1"/>
      </w:tblPr>
      <w:tblGrid>
        <w:gridCol w:w="2344"/>
        <w:gridCol w:w="4933"/>
        <w:gridCol w:w="2528"/>
      </w:tblGrid>
      <w:tr w:rsidR="009017F3" w14:paraId="56530705" w14:textId="77777777" w:rsidTr="00197293">
        <w:tc>
          <w:tcPr>
            <w:tcW w:w="2344" w:type="dxa"/>
            <w:shd w:val="clear" w:color="auto" w:fill="BDD6EE" w:themeFill="accent1" w:themeFillTint="66"/>
          </w:tcPr>
          <w:p w14:paraId="53A8696D" w14:textId="77777777" w:rsidR="009017F3" w:rsidRPr="000F6CD0" w:rsidRDefault="009017F3" w:rsidP="008F7618">
            <w:pPr>
              <w:jc w:val="center"/>
              <w:rPr>
                <w:b/>
              </w:rPr>
            </w:pPr>
            <w:r w:rsidRPr="000F6CD0">
              <w:rPr>
                <w:b/>
              </w:rPr>
              <w:t>Agenda Item</w:t>
            </w:r>
          </w:p>
        </w:tc>
        <w:tc>
          <w:tcPr>
            <w:tcW w:w="4933" w:type="dxa"/>
            <w:shd w:val="clear" w:color="auto" w:fill="BDD6EE" w:themeFill="accent1" w:themeFillTint="66"/>
          </w:tcPr>
          <w:p w14:paraId="4AFE23A4" w14:textId="77777777" w:rsidR="009017F3" w:rsidRPr="000F6CD0" w:rsidRDefault="009017F3" w:rsidP="008F7618">
            <w:pPr>
              <w:jc w:val="center"/>
              <w:rPr>
                <w:b/>
              </w:rPr>
            </w:pPr>
            <w:r w:rsidRPr="000F6CD0">
              <w:rPr>
                <w:b/>
              </w:rPr>
              <w:t>Discussion</w:t>
            </w:r>
          </w:p>
        </w:tc>
        <w:tc>
          <w:tcPr>
            <w:tcW w:w="2528" w:type="dxa"/>
            <w:shd w:val="clear" w:color="auto" w:fill="BDD6EE" w:themeFill="accent1" w:themeFillTint="66"/>
          </w:tcPr>
          <w:p w14:paraId="66A9C209" w14:textId="77777777" w:rsidR="009017F3" w:rsidRPr="000F6CD0" w:rsidRDefault="009017F3" w:rsidP="008F7618">
            <w:pPr>
              <w:rPr>
                <w:b/>
              </w:rPr>
            </w:pPr>
            <w:r w:rsidRPr="000F6CD0">
              <w:rPr>
                <w:b/>
              </w:rPr>
              <w:t>Recommendation/Action</w:t>
            </w:r>
          </w:p>
        </w:tc>
      </w:tr>
      <w:tr w:rsidR="009017F3" w14:paraId="5C86EB96" w14:textId="77777777" w:rsidTr="00197293">
        <w:tc>
          <w:tcPr>
            <w:tcW w:w="2344" w:type="dxa"/>
          </w:tcPr>
          <w:p w14:paraId="17337E17" w14:textId="77777777" w:rsidR="009017F3" w:rsidRPr="00FA454B" w:rsidRDefault="009017F3" w:rsidP="00FA454B">
            <w:pPr>
              <w:pStyle w:val="ListParagraph"/>
              <w:numPr>
                <w:ilvl w:val="0"/>
                <w:numId w:val="3"/>
              </w:numPr>
              <w:rPr>
                <w:b/>
                <w:sz w:val="24"/>
                <w:szCs w:val="24"/>
              </w:rPr>
            </w:pPr>
            <w:r w:rsidRPr="00FA454B">
              <w:rPr>
                <w:b/>
                <w:sz w:val="24"/>
                <w:szCs w:val="24"/>
              </w:rPr>
              <w:t>Call to Order</w:t>
            </w:r>
          </w:p>
        </w:tc>
        <w:tc>
          <w:tcPr>
            <w:tcW w:w="4933" w:type="dxa"/>
          </w:tcPr>
          <w:p w14:paraId="672A6659" w14:textId="61F051E7" w:rsidR="005F79B1" w:rsidRDefault="00935DDE" w:rsidP="00935DDE">
            <w:r>
              <w:t xml:space="preserve">Winnie Ko </w:t>
            </w:r>
            <w:r w:rsidR="005F79B1">
              <w:t>called meeting to order at</w:t>
            </w:r>
            <w:r w:rsidR="00012380">
              <w:t xml:space="preserve"> </w:t>
            </w:r>
            <w:r w:rsidR="005F79B1">
              <w:t xml:space="preserve"> </w:t>
            </w:r>
            <w:r w:rsidR="00DC141D">
              <w:t>12:</w:t>
            </w:r>
            <w:r w:rsidR="009673A6">
              <w:t>30</w:t>
            </w:r>
          </w:p>
        </w:tc>
        <w:tc>
          <w:tcPr>
            <w:tcW w:w="2528" w:type="dxa"/>
          </w:tcPr>
          <w:p w14:paraId="0A37501D" w14:textId="77777777" w:rsidR="009017F3" w:rsidRDefault="009017F3" w:rsidP="008F7618"/>
        </w:tc>
      </w:tr>
      <w:tr w:rsidR="000F6CD0" w14:paraId="5DAB6C7B" w14:textId="77777777" w:rsidTr="00197293">
        <w:tc>
          <w:tcPr>
            <w:tcW w:w="2344" w:type="dxa"/>
            <w:shd w:val="clear" w:color="auto" w:fill="BDD6EE" w:themeFill="accent1" w:themeFillTint="66"/>
          </w:tcPr>
          <w:p w14:paraId="02EB378F" w14:textId="77777777" w:rsidR="000F6CD0" w:rsidRPr="00FA454B" w:rsidRDefault="000F6CD0" w:rsidP="000F6CD0">
            <w:pPr>
              <w:pStyle w:val="ListParagraph"/>
              <w:rPr>
                <w:b/>
                <w:sz w:val="24"/>
                <w:szCs w:val="24"/>
              </w:rPr>
            </w:pPr>
          </w:p>
        </w:tc>
        <w:tc>
          <w:tcPr>
            <w:tcW w:w="4933" w:type="dxa"/>
            <w:shd w:val="clear" w:color="auto" w:fill="BDD6EE" w:themeFill="accent1" w:themeFillTint="66"/>
          </w:tcPr>
          <w:p w14:paraId="6A05A809" w14:textId="77777777" w:rsidR="000F6CD0" w:rsidRDefault="000F6CD0" w:rsidP="008F7618"/>
        </w:tc>
        <w:tc>
          <w:tcPr>
            <w:tcW w:w="2528" w:type="dxa"/>
            <w:shd w:val="clear" w:color="auto" w:fill="BDD6EE" w:themeFill="accent1" w:themeFillTint="66"/>
          </w:tcPr>
          <w:p w14:paraId="5A39BBE3" w14:textId="77777777" w:rsidR="000F6CD0" w:rsidRDefault="000F6CD0" w:rsidP="008F7618"/>
        </w:tc>
      </w:tr>
      <w:tr w:rsidR="00913488" w14:paraId="12B55489" w14:textId="77777777" w:rsidTr="00197293">
        <w:tc>
          <w:tcPr>
            <w:tcW w:w="2344" w:type="dxa"/>
          </w:tcPr>
          <w:p w14:paraId="15EB67AA" w14:textId="3B6668F5" w:rsidR="00913488" w:rsidRPr="00FA454B" w:rsidRDefault="00913488" w:rsidP="00913488">
            <w:pPr>
              <w:pStyle w:val="ListParagraph"/>
              <w:numPr>
                <w:ilvl w:val="0"/>
                <w:numId w:val="3"/>
              </w:numPr>
              <w:rPr>
                <w:b/>
                <w:sz w:val="24"/>
                <w:szCs w:val="24"/>
              </w:rPr>
            </w:pPr>
            <w:r w:rsidRPr="00FA454B">
              <w:rPr>
                <w:b/>
                <w:sz w:val="24"/>
                <w:szCs w:val="24"/>
              </w:rPr>
              <w:t>Approval of Minutes</w:t>
            </w:r>
          </w:p>
        </w:tc>
        <w:tc>
          <w:tcPr>
            <w:tcW w:w="4933" w:type="dxa"/>
          </w:tcPr>
          <w:p w14:paraId="75EF678D" w14:textId="3915F19D" w:rsidR="00913488" w:rsidRDefault="00913488" w:rsidP="00913488"/>
        </w:tc>
        <w:tc>
          <w:tcPr>
            <w:tcW w:w="2528" w:type="dxa"/>
          </w:tcPr>
          <w:p w14:paraId="1C41E98C" w14:textId="56A13661" w:rsidR="00913488" w:rsidRDefault="00913488" w:rsidP="00197293">
            <w:r>
              <w:t xml:space="preserve">Motion by </w:t>
            </w:r>
            <w:r w:rsidR="00197293">
              <w:t>J. Kinne</w:t>
            </w:r>
            <w:r>
              <w:t xml:space="preserve"> to approve minutes, second by </w:t>
            </w:r>
            <w:r w:rsidR="00197293">
              <w:t>A. Payne</w:t>
            </w:r>
            <w:r>
              <w:t>. (</w:t>
            </w:r>
            <w:r w:rsidR="00197293">
              <w:t>7-0</w:t>
            </w:r>
            <w:r>
              <w:t>)</w:t>
            </w:r>
          </w:p>
        </w:tc>
      </w:tr>
      <w:tr w:rsidR="00913488" w14:paraId="41C8F396" w14:textId="77777777" w:rsidTr="00197293">
        <w:tc>
          <w:tcPr>
            <w:tcW w:w="2344" w:type="dxa"/>
            <w:shd w:val="clear" w:color="auto" w:fill="BDD6EE" w:themeFill="accent1" w:themeFillTint="66"/>
          </w:tcPr>
          <w:p w14:paraId="72A3D3EC" w14:textId="77777777" w:rsidR="00913488" w:rsidRPr="00877C3F" w:rsidRDefault="00913488" w:rsidP="00913488">
            <w:pPr>
              <w:rPr>
                <w:b/>
                <w:sz w:val="24"/>
                <w:szCs w:val="24"/>
              </w:rPr>
            </w:pPr>
          </w:p>
        </w:tc>
        <w:tc>
          <w:tcPr>
            <w:tcW w:w="4933" w:type="dxa"/>
            <w:shd w:val="clear" w:color="auto" w:fill="BDD6EE" w:themeFill="accent1" w:themeFillTint="66"/>
          </w:tcPr>
          <w:p w14:paraId="0D0B940D" w14:textId="77777777" w:rsidR="00913488" w:rsidRDefault="00913488" w:rsidP="00913488"/>
        </w:tc>
        <w:tc>
          <w:tcPr>
            <w:tcW w:w="2528" w:type="dxa"/>
            <w:shd w:val="clear" w:color="auto" w:fill="BDD6EE" w:themeFill="accent1" w:themeFillTint="66"/>
          </w:tcPr>
          <w:p w14:paraId="0E27B00A" w14:textId="77777777" w:rsidR="00913488" w:rsidRDefault="00913488" w:rsidP="00913488"/>
        </w:tc>
      </w:tr>
      <w:tr w:rsidR="00913488" w14:paraId="6AA5EDA5" w14:textId="77777777" w:rsidTr="00197293">
        <w:tc>
          <w:tcPr>
            <w:tcW w:w="2344" w:type="dxa"/>
          </w:tcPr>
          <w:p w14:paraId="0EE34BC3" w14:textId="2D2DC852" w:rsidR="00913488" w:rsidRPr="009673A6" w:rsidRDefault="00913488" w:rsidP="00913488">
            <w:pPr>
              <w:pStyle w:val="ListParagraph"/>
              <w:numPr>
                <w:ilvl w:val="0"/>
                <w:numId w:val="3"/>
              </w:numPr>
              <w:rPr>
                <w:b/>
                <w:bCs/>
                <w:color w:val="000000" w:themeColor="text1"/>
              </w:rPr>
            </w:pPr>
            <w:r w:rsidRPr="1A074E58">
              <w:rPr>
                <w:b/>
                <w:bCs/>
                <w:sz w:val="24"/>
                <w:szCs w:val="24"/>
              </w:rPr>
              <w:t>Review of</w:t>
            </w:r>
            <w:r>
              <w:rPr>
                <w:b/>
                <w:bCs/>
                <w:sz w:val="24"/>
                <w:szCs w:val="24"/>
              </w:rPr>
              <w:t xml:space="preserve"> </w:t>
            </w:r>
            <w:r w:rsidR="00197293">
              <w:rPr>
                <w:b/>
                <w:bCs/>
                <w:sz w:val="24"/>
                <w:szCs w:val="24"/>
              </w:rPr>
              <w:t>Nursing Major-Baccalaureate Track for Students Entering with LPN/LVN</w:t>
            </w:r>
          </w:p>
          <w:p w14:paraId="49CFEFCD" w14:textId="11921EDB" w:rsidR="00913488" w:rsidRPr="008521ED" w:rsidRDefault="00913488" w:rsidP="00913488">
            <w:pPr>
              <w:ind w:left="360"/>
            </w:pPr>
          </w:p>
        </w:tc>
        <w:tc>
          <w:tcPr>
            <w:tcW w:w="4933" w:type="dxa"/>
          </w:tcPr>
          <w:p w14:paraId="60061E4C" w14:textId="32D14B34" w:rsidR="00913488" w:rsidRPr="007B4915" w:rsidRDefault="00197293" w:rsidP="00913488">
            <w:r>
              <w:t xml:space="preserve">A. </w:t>
            </w:r>
            <w:proofErr w:type="spellStart"/>
            <w:r>
              <w:t>Kummerow</w:t>
            </w:r>
            <w:proofErr w:type="spellEnd"/>
            <w:r>
              <w:t xml:space="preserve"> summarized the primary changes.  Altering all the course prefixes between this and the other separate nursing program in order to completely differentiate the two programs.  The courses, though effectively delivering the same content, originate from two separate departments, serving two separate bodies of students.  This alteration is meant to eliminate administrative confusion for all concerned.</w:t>
            </w:r>
          </w:p>
        </w:tc>
        <w:tc>
          <w:tcPr>
            <w:tcW w:w="2528" w:type="dxa"/>
          </w:tcPr>
          <w:p w14:paraId="44EAFD9C" w14:textId="55B16590" w:rsidR="00913488" w:rsidRDefault="00913488" w:rsidP="00913488"/>
        </w:tc>
      </w:tr>
      <w:tr w:rsidR="00913488" w14:paraId="4B94D5A5" w14:textId="77777777" w:rsidTr="00197293">
        <w:tc>
          <w:tcPr>
            <w:tcW w:w="2344" w:type="dxa"/>
            <w:shd w:val="clear" w:color="auto" w:fill="BDD6EE" w:themeFill="accent1" w:themeFillTint="66"/>
          </w:tcPr>
          <w:p w14:paraId="3DEEC669" w14:textId="77777777" w:rsidR="00913488" w:rsidRDefault="00913488" w:rsidP="00913488">
            <w:pPr>
              <w:rPr>
                <w:rFonts w:ascii="Times New Roman" w:eastAsia="Times New Roman" w:hAnsi="Times New Roman" w:cs="Times New Roman"/>
                <w:color w:val="000000"/>
                <w:sz w:val="24"/>
                <w:szCs w:val="24"/>
              </w:rPr>
            </w:pPr>
          </w:p>
        </w:tc>
        <w:tc>
          <w:tcPr>
            <w:tcW w:w="4933" w:type="dxa"/>
            <w:shd w:val="clear" w:color="auto" w:fill="BDD6EE" w:themeFill="accent1" w:themeFillTint="66"/>
          </w:tcPr>
          <w:p w14:paraId="3656B9AB" w14:textId="77777777" w:rsidR="00913488" w:rsidRPr="00877C3F" w:rsidRDefault="00913488" w:rsidP="00913488">
            <w:pPr>
              <w:rPr>
                <w:b/>
              </w:rPr>
            </w:pPr>
          </w:p>
        </w:tc>
        <w:tc>
          <w:tcPr>
            <w:tcW w:w="2528" w:type="dxa"/>
            <w:shd w:val="clear" w:color="auto" w:fill="BDD6EE" w:themeFill="accent1" w:themeFillTint="66"/>
          </w:tcPr>
          <w:p w14:paraId="45FB0818" w14:textId="77777777" w:rsidR="00913488" w:rsidRDefault="00913488" w:rsidP="00913488"/>
        </w:tc>
      </w:tr>
      <w:tr w:rsidR="00913488" w14:paraId="2D255667" w14:textId="77777777" w:rsidTr="00197293">
        <w:tc>
          <w:tcPr>
            <w:tcW w:w="2344" w:type="dxa"/>
          </w:tcPr>
          <w:p w14:paraId="4DDBEF00" w14:textId="536DA411" w:rsidR="00913488" w:rsidRPr="00913488" w:rsidRDefault="00197293" w:rsidP="00913488">
            <w:pPr>
              <w:pStyle w:val="ListParagraph"/>
              <w:numPr>
                <w:ilvl w:val="0"/>
                <w:numId w:val="3"/>
              </w:numPr>
              <w:rPr>
                <w:b/>
              </w:rPr>
            </w:pPr>
            <w:r>
              <w:rPr>
                <w:b/>
              </w:rPr>
              <w:t>Review of Nursing Major-Baccalaureate Track for Students Entering with RN Licensure</w:t>
            </w:r>
          </w:p>
        </w:tc>
        <w:tc>
          <w:tcPr>
            <w:tcW w:w="4933" w:type="dxa"/>
          </w:tcPr>
          <w:p w14:paraId="19250D03" w14:textId="77777777" w:rsidR="00913488" w:rsidRDefault="00197293" w:rsidP="00913488">
            <w:r>
              <w:t xml:space="preserve">A. </w:t>
            </w:r>
            <w:proofErr w:type="spellStart"/>
            <w:r>
              <w:t>Kummerow</w:t>
            </w:r>
            <w:proofErr w:type="spellEnd"/>
            <w:r>
              <w:t xml:space="preserve"> summarized the primary changes.  Altering all the course prefixes between this and the other separate nursing program in order to completely differentiate the two programs.  The courses, though effectively delivering the same content, originate from two separate departments, serving two separate bodies of students.  This alteration is meant to eliminate administrative confusion for all concerned.</w:t>
            </w:r>
          </w:p>
          <w:p w14:paraId="3A4D9A15" w14:textId="77777777" w:rsidR="00197293" w:rsidRDefault="00197293" w:rsidP="00913488">
            <w:pPr>
              <w:rPr>
                <w:rFonts w:ascii="Calibri" w:eastAsia="Calibri" w:hAnsi="Calibri" w:cs="Calibri"/>
                <w:sz w:val="24"/>
                <w:szCs w:val="24"/>
              </w:rPr>
            </w:pPr>
          </w:p>
          <w:p w14:paraId="3461D779" w14:textId="4B34A5DD" w:rsidR="00197293" w:rsidRPr="00FA454B" w:rsidRDefault="00197293" w:rsidP="00913488">
            <w:pPr>
              <w:rPr>
                <w:rFonts w:ascii="Calibri" w:eastAsia="Calibri" w:hAnsi="Calibri" w:cs="Calibri"/>
                <w:sz w:val="24"/>
                <w:szCs w:val="24"/>
              </w:rPr>
            </w:pPr>
          </w:p>
        </w:tc>
        <w:tc>
          <w:tcPr>
            <w:tcW w:w="2528" w:type="dxa"/>
          </w:tcPr>
          <w:p w14:paraId="3CF2D8B6" w14:textId="0985AB06" w:rsidR="00913488" w:rsidRDefault="00913488" w:rsidP="00913488"/>
        </w:tc>
      </w:tr>
      <w:tr w:rsidR="00913488" w14:paraId="06BD34BA" w14:textId="77777777" w:rsidTr="00197293">
        <w:tc>
          <w:tcPr>
            <w:tcW w:w="2344" w:type="dxa"/>
            <w:shd w:val="clear" w:color="auto" w:fill="BDD6EE" w:themeFill="accent1" w:themeFillTint="66"/>
          </w:tcPr>
          <w:p w14:paraId="3E977702" w14:textId="77777777" w:rsidR="00913488" w:rsidRPr="00913488" w:rsidRDefault="00913488" w:rsidP="00913488">
            <w:pPr>
              <w:rPr>
                <w:b/>
                <w:sz w:val="24"/>
                <w:szCs w:val="24"/>
              </w:rPr>
            </w:pPr>
          </w:p>
        </w:tc>
        <w:tc>
          <w:tcPr>
            <w:tcW w:w="4933" w:type="dxa"/>
            <w:shd w:val="clear" w:color="auto" w:fill="BDD6EE" w:themeFill="accent1" w:themeFillTint="66"/>
          </w:tcPr>
          <w:p w14:paraId="53BD6191" w14:textId="77777777" w:rsidR="00913488" w:rsidRPr="00913488" w:rsidRDefault="00913488" w:rsidP="00913488">
            <w:pPr>
              <w:rPr>
                <w:b/>
                <w:sz w:val="24"/>
                <w:szCs w:val="24"/>
              </w:rPr>
            </w:pPr>
          </w:p>
        </w:tc>
        <w:tc>
          <w:tcPr>
            <w:tcW w:w="2528" w:type="dxa"/>
            <w:shd w:val="clear" w:color="auto" w:fill="BDD6EE" w:themeFill="accent1" w:themeFillTint="66"/>
          </w:tcPr>
          <w:p w14:paraId="2354C95A" w14:textId="77777777" w:rsidR="00913488" w:rsidRPr="00913488" w:rsidRDefault="00913488" w:rsidP="00913488">
            <w:pPr>
              <w:rPr>
                <w:b/>
                <w:sz w:val="24"/>
                <w:szCs w:val="24"/>
              </w:rPr>
            </w:pPr>
          </w:p>
        </w:tc>
      </w:tr>
      <w:tr w:rsidR="00EF68B8" w14:paraId="26FCC3A4" w14:textId="77777777" w:rsidTr="00197293">
        <w:tc>
          <w:tcPr>
            <w:tcW w:w="2344" w:type="dxa"/>
          </w:tcPr>
          <w:p w14:paraId="7639ACF8" w14:textId="003EC844" w:rsidR="00EF68B8" w:rsidRPr="1A074E58" w:rsidRDefault="00197293" w:rsidP="00EF68B8">
            <w:pPr>
              <w:pStyle w:val="ListParagraph"/>
              <w:numPr>
                <w:ilvl w:val="0"/>
                <w:numId w:val="3"/>
              </w:numPr>
              <w:rPr>
                <w:b/>
                <w:bCs/>
                <w:sz w:val="24"/>
                <w:szCs w:val="24"/>
              </w:rPr>
            </w:pPr>
            <w:r>
              <w:rPr>
                <w:b/>
                <w:bCs/>
              </w:rPr>
              <w:lastRenderedPageBreak/>
              <w:t>Discussion of Charge to Oversee Enrollment and Graduation Rates of Recently Approved Programs</w:t>
            </w:r>
          </w:p>
        </w:tc>
        <w:tc>
          <w:tcPr>
            <w:tcW w:w="4933" w:type="dxa"/>
          </w:tcPr>
          <w:p w14:paraId="6B1B238E" w14:textId="77777777" w:rsidR="00EF68B8" w:rsidRDefault="00197293" w:rsidP="00EF68B8">
            <w:r>
              <w:t xml:space="preserve">K. Woods-Johnson addressed the committee concerning her involvement with the development of </w:t>
            </w:r>
            <w:proofErr w:type="gramStart"/>
            <w:r>
              <w:t>an</w:t>
            </w:r>
            <w:proofErr w:type="gramEnd"/>
            <w:r>
              <w:t xml:space="preserve"> departmental external review template that may be helpful for CAAC’s charge of assessing program quality and success.  The template attempts to help standardize the types of data that departments might want to use for a self-assessment (the template will only be used by ISU departments not nationally accredited), in the hopes then that such data could then be useful for cross-departmental comparisons of the type that CAAC might undertake.  All such self-assessments and program evaluations it is hoped will help inform wise maintenance and upkeep of existing programs.</w:t>
            </w:r>
          </w:p>
          <w:p w14:paraId="47D06546" w14:textId="77777777" w:rsidR="00197293" w:rsidRDefault="00197293" w:rsidP="00EF68B8"/>
          <w:p w14:paraId="60244D06" w14:textId="77777777" w:rsidR="00197293" w:rsidRDefault="00197293" w:rsidP="00EF68B8">
            <w:r>
              <w:t>K. Woods-Johnson asked what kind of data CAAC would be interested in collecting and for what purposes?</w:t>
            </w:r>
          </w:p>
          <w:p w14:paraId="38752901" w14:textId="77777777" w:rsidR="00197293" w:rsidRDefault="00197293" w:rsidP="00EF68B8"/>
          <w:p w14:paraId="4AE6573E" w14:textId="77777777" w:rsidR="00197293" w:rsidRDefault="00197293" w:rsidP="00EF68B8">
            <w:r>
              <w:t>W. Ko stated that she hoped the template would be helpful for CAAC to develop a checklist.</w:t>
            </w:r>
          </w:p>
          <w:p w14:paraId="03846E16" w14:textId="77777777" w:rsidR="00197293" w:rsidRDefault="00197293" w:rsidP="00EF68B8"/>
          <w:p w14:paraId="2776BC06" w14:textId="77777777" w:rsidR="00197293" w:rsidRDefault="00197293" w:rsidP="00EF68B8">
            <w:r>
              <w:t>S. Powers clarified that what is needed is some data to provide context when assessing the relative strength of programs.  It would be nice to look at the executive summaries of such program evaluations.</w:t>
            </w:r>
          </w:p>
          <w:p w14:paraId="5E591E1D" w14:textId="77777777" w:rsidR="00197293" w:rsidRDefault="00197293" w:rsidP="00EF68B8"/>
          <w:p w14:paraId="46C9ACCD" w14:textId="77777777" w:rsidR="00197293" w:rsidRDefault="00197293" w:rsidP="00EF68B8">
            <w:r>
              <w:t>K. Woods-Johnson then informed CAAC of a site where the executive summaries are displayed, noting again that this only claimed departments that were not nationally accredited.</w:t>
            </w:r>
          </w:p>
          <w:p w14:paraId="3CD0518A" w14:textId="77777777" w:rsidR="00197293" w:rsidRDefault="00197293" w:rsidP="00EF68B8"/>
          <w:p w14:paraId="62766ACF" w14:textId="77777777" w:rsidR="00197293" w:rsidRDefault="00197293" w:rsidP="00EF68B8">
            <w:r>
              <w:t xml:space="preserve">B. </w:t>
            </w:r>
            <w:proofErr w:type="spellStart"/>
            <w:r>
              <w:t>Rayfield</w:t>
            </w:r>
            <w:proofErr w:type="spellEnd"/>
            <w:r>
              <w:t xml:space="preserve"> observed that a 10-year cycle (the typical requirement for an external program review) seemed a long stretch, if one is concerned about accountability.</w:t>
            </w:r>
          </w:p>
          <w:p w14:paraId="521682FB" w14:textId="77777777" w:rsidR="00197293" w:rsidRDefault="00197293" w:rsidP="00EF68B8"/>
          <w:p w14:paraId="51176BE8" w14:textId="77777777" w:rsidR="00197293" w:rsidRDefault="00197293" w:rsidP="00EF68B8">
            <w:r>
              <w:t>A. Payne noted that CAAC could become an entity offering an interim review during that 10-year cycle, in order to check to see if programs were attempting to meet the goals for change stated in their executive summaries/external review reports.</w:t>
            </w:r>
          </w:p>
          <w:p w14:paraId="566AA8FC" w14:textId="77777777" w:rsidR="00197293" w:rsidRDefault="00197293" w:rsidP="00EF68B8"/>
          <w:p w14:paraId="1DAD9909" w14:textId="604E2866" w:rsidR="00197293" w:rsidRPr="006A4890" w:rsidRDefault="00197293" w:rsidP="00EF68B8">
            <w:r>
              <w:t xml:space="preserve">W. </w:t>
            </w:r>
            <w:proofErr w:type="spellStart"/>
            <w:r>
              <w:t>Nesser</w:t>
            </w:r>
            <w:proofErr w:type="spellEnd"/>
            <w:r>
              <w:t xml:space="preserve"> offered that she liked the idea of CAAC offering an interdisciplinary “set of eyes” for different insights on programs.</w:t>
            </w:r>
          </w:p>
        </w:tc>
        <w:tc>
          <w:tcPr>
            <w:tcW w:w="2528" w:type="dxa"/>
          </w:tcPr>
          <w:p w14:paraId="27D4BA53" w14:textId="18E80CA4" w:rsidR="00EF68B8" w:rsidRDefault="00EF68B8" w:rsidP="00EF68B8"/>
        </w:tc>
      </w:tr>
      <w:tr w:rsidR="00EF68B8" w14:paraId="1016A057" w14:textId="77777777" w:rsidTr="00197293">
        <w:tc>
          <w:tcPr>
            <w:tcW w:w="2344" w:type="dxa"/>
            <w:shd w:val="clear" w:color="auto" w:fill="BDD6EE" w:themeFill="accent1" w:themeFillTint="66"/>
          </w:tcPr>
          <w:p w14:paraId="3487397B" w14:textId="77777777" w:rsidR="00EF68B8" w:rsidRDefault="00EF68B8" w:rsidP="00EF68B8">
            <w:pPr>
              <w:pStyle w:val="ListParagraph"/>
              <w:rPr>
                <w:b/>
                <w:bCs/>
                <w:sz w:val="24"/>
                <w:szCs w:val="24"/>
              </w:rPr>
            </w:pPr>
          </w:p>
        </w:tc>
        <w:tc>
          <w:tcPr>
            <w:tcW w:w="4933" w:type="dxa"/>
            <w:shd w:val="clear" w:color="auto" w:fill="BDD6EE" w:themeFill="accent1" w:themeFillTint="66"/>
          </w:tcPr>
          <w:p w14:paraId="42B50384" w14:textId="77777777" w:rsidR="00EF68B8" w:rsidRPr="006A4890" w:rsidRDefault="00EF68B8" w:rsidP="00EF68B8"/>
        </w:tc>
        <w:tc>
          <w:tcPr>
            <w:tcW w:w="2528" w:type="dxa"/>
            <w:shd w:val="clear" w:color="auto" w:fill="BDD6EE" w:themeFill="accent1" w:themeFillTint="66"/>
          </w:tcPr>
          <w:p w14:paraId="3554C502" w14:textId="77777777" w:rsidR="00EF68B8" w:rsidRDefault="00EF68B8" w:rsidP="00EF68B8"/>
        </w:tc>
      </w:tr>
      <w:tr w:rsidR="00EF68B8" w14:paraId="6840E6BF" w14:textId="77777777" w:rsidTr="00197293">
        <w:tc>
          <w:tcPr>
            <w:tcW w:w="2344" w:type="dxa"/>
          </w:tcPr>
          <w:p w14:paraId="5EBB7A54" w14:textId="465EE94A" w:rsidR="00EF68B8" w:rsidRDefault="00EF68B8" w:rsidP="00197293">
            <w:pPr>
              <w:pStyle w:val="ListParagraph"/>
              <w:numPr>
                <w:ilvl w:val="0"/>
                <w:numId w:val="3"/>
              </w:numPr>
              <w:rPr>
                <w:b/>
                <w:bCs/>
                <w:sz w:val="24"/>
                <w:szCs w:val="24"/>
              </w:rPr>
            </w:pPr>
            <w:r>
              <w:rPr>
                <w:b/>
                <w:bCs/>
                <w:sz w:val="24"/>
                <w:szCs w:val="24"/>
              </w:rPr>
              <w:lastRenderedPageBreak/>
              <w:t xml:space="preserve">Approval of </w:t>
            </w:r>
            <w:r w:rsidR="00197293">
              <w:rPr>
                <w:b/>
                <w:bCs/>
                <w:sz w:val="24"/>
                <w:szCs w:val="24"/>
              </w:rPr>
              <w:t>Mathematics Teaching Major</w:t>
            </w:r>
          </w:p>
        </w:tc>
        <w:tc>
          <w:tcPr>
            <w:tcW w:w="4933" w:type="dxa"/>
          </w:tcPr>
          <w:p w14:paraId="5950CAF8" w14:textId="7AFAD4E6" w:rsidR="00EF68B8" w:rsidRDefault="00EF68B8" w:rsidP="00EF68B8">
            <w:r>
              <w:t>NA</w:t>
            </w:r>
          </w:p>
        </w:tc>
        <w:tc>
          <w:tcPr>
            <w:tcW w:w="2528" w:type="dxa"/>
          </w:tcPr>
          <w:p w14:paraId="0B877FDD" w14:textId="00EE7B15" w:rsidR="00EF68B8" w:rsidRDefault="00EF68B8" w:rsidP="00197293">
            <w:r>
              <w:t xml:space="preserve">Motion by </w:t>
            </w:r>
            <w:r w:rsidR="00197293">
              <w:t>J. Kinne</w:t>
            </w:r>
            <w:r>
              <w:t xml:space="preserve"> to approve, second by </w:t>
            </w:r>
            <w:r w:rsidR="00197293">
              <w:t>W. Ko</w:t>
            </w:r>
            <w:r>
              <w:t>. (</w:t>
            </w:r>
            <w:r w:rsidR="00197293">
              <w:t>7</w:t>
            </w:r>
            <w:r>
              <w:t>-0)</w:t>
            </w:r>
          </w:p>
        </w:tc>
      </w:tr>
      <w:tr w:rsidR="00EF68B8" w14:paraId="439A79B6" w14:textId="77777777" w:rsidTr="00197293">
        <w:tc>
          <w:tcPr>
            <w:tcW w:w="2344" w:type="dxa"/>
            <w:shd w:val="clear" w:color="auto" w:fill="BDD6EE" w:themeFill="accent1" w:themeFillTint="66"/>
          </w:tcPr>
          <w:p w14:paraId="1DCE8CDC" w14:textId="7376CC62" w:rsidR="00EF68B8" w:rsidRPr="00FA454B" w:rsidRDefault="00EF68B8" w:rsidP="00EF68B8">
            <w:pPr>
              <w:ind w:left="360"/>
              <w:rPr>
                <w:rFonts w:eastAsia="Times New Roman" w:cs="Times New Roman"/>
                <w:b/>
                <w:bCs/>
                <w:color w:val="000000" w:themeColor="text1"/>
              </w:rPr>
            </w:pPr>
          </w:p>
        </w:tc>
        <w:tc>
          <w:tcPr>
            <w:tcW w:w="4933" w:type="dxa"/>
            <w:shd w:val="clear" w:color="auto" w:fill="BDD6EE" w:themeFill="accent1" w:themeFillTint="66"/>
          </w:tcPr>
          <w:p w14:paraId="0FB78278" w14:textId="59F88F4E" w:rsidR="00EF68B8" w:rsidRDefault="00EF68B8" w:rsidP="00EF68B8">
            <w:pPr>
              <w:rPr>
                <w:rFonts w:ascii="Calibri" w:eastAsia="Calibri" w:hAnsi="Calibri" w:cs="Calibri"/>
                <w:sz w:val="24"/>
                <w:szCs w:val="24"/>
              </w:rPr>
            </w:pPr>
          </w:p>
        </w:tc>
        <w:tc>
          <w:tcPr>
            <w:tcW w:w="2528" w:type="dxa"/>
            <w:shd w:val="clear" w:color="auto" w:fill="BDD6EE" w:themeFill="accent1" w:themeFillTint="66"/>
          </w:tcPr>
          <w:p w14:paraId="1FC39945" w14:textId="77777777" w:rsidR="00EF68B8" w:rsidRDefault="00EF68B8" w:rsidP="00EF68B8"/>
        </w:tc>
      </w:tr>
      <w:tr w:rsidR="00EF68B8" w14:paraId="13CE4C09" w14:textId="77777777" w:rsidTr="00197293">
        <w:tc>
          <w:tcPr>
            <w:tcW w:w="2344" w:type="dxa"/>
          </w:tcPr>
          <w:p w14:paraId="7AEE0980" w14:textId="249685D0" w:rsidR="00EF68B8" w:rsidRPr="00E70ECD" w:rsidRDefault="00197293" w:rsidP="00EF68B8">
            <w:pPr>
              <w:pStyle w:val="ListParagraph"/>
              <w:numPr>
                <w:ilvl w:val="0"/>
                <w:numId w:val="3"/>
              </w:numPr>
              <w:rPr>
                <w:b/>
                <w:bCs/>
              </w:rPr>
            </w:pPr>
            <w:r w:rsidRPr="00E70ECD">
              <w:rPr>
                <w:b/>
                <w:bCs/>
              </w:rPr>
              <w:t>Chair’s Report and Executive Action Items</w:t>
            </w:r>
          </w:p>
        </w:tc>
        <w:tc>
          <w:tcPr>
            <w:tcW w:w="4933" w:type="dxa"/>
          </w:tcPr>
          <w:p w14:paraId="18EF63F8" w14:textId="5C63B443" w:rsidR="004B694F" w:rsidRDefault="00197293" w:rsidP="004B694F">
            <w:r>
              <w:t>Received report from colleges regarding overlapping majors and minors.  This will be sent out to committee members in order to inform a discussion at our next meeting.</w:t>
            </w:r>
          </w:p>
        </w:tc>
        <w:tc>
          <w:tcPr>
            <w:tcW w:w="2528" w:type="dxa"/>
          </w:tcPr>
          <w:p w14:paraId="32DAED4C" w14:textId="77777777" w:rsidR="00EF68B8" w:rsidRDefault="00EF68B8" w:rsidP="00EF68B8"/>
        </w:tc>
      </w:tr>
      <w:tr w:rsidR="00EF68B8" w14:paraId="242E4A8F" w14:textId="77777777" w:rsidTr="00197293">
        <w:tc>
          <w:tcPr>
            <w:tcW w:w="2344" w:type="dxa"/>
            <w:shd w:val="clear" w:color="auto" w:fill="BDD6EE" w:themeFill="accent1" w:themeFillTint="66"/>
          </w:tcPr>
          <w:p w14:paraId="52E56223" w14:textId="77777777" w:rsidR="00EF68B8" w:rsidRPr="00022204" w:rsidRDefault="00EF68B8" w:rsidP="00EF68B8"/>
        </w:tc>
        <w:tc>
          <w:tcPr>
            <w:tcW w:w="4933" w:type="dxa"/>
            <w:shd w:val="clear" w:color="auto" w:fill="BDD6EE" w:themeFill="accent1" w:themeFillTint="66"/>
          </w:tcPr>
          <w:p w14:paraId="6DFB9E20" w14:textId="77777777" w:rsidR="00EF68B8" w:rsidRDefault="00EF68B8" w:rsidP="00EF68B8"/>
        </w:tc>
        <w:tc>
          <w:tcPr>
            <w:tcW w:w="2528" w:type="dxa"/>
            <w:shd w:val="clear" w:color="auto" w:fill="BDD6EE" w:themeFill="accent1" w:themeFillTint="66"/>
          </w:tcPr>
          <w:p w14:paraId="1DB5DCFB" w14:textId="15B9EFC6" w:rsidR="00EF68B8" w:rsidRDefault="00EF68B8" w:rsidP="00EF68B8"/>
        </w:tc>
      </w:tr>
      <w:tr w:rsidR="00EF68B8" w14:paraId="738610EB" w14:textId="77777777" w:rsidTr="00197293">
        <w:tc>
          <w:tcPr>
            <w:tcW w:w="2344" w:type="dxa"/>
          </w:tcPr>
          <w:p w14:paraId="637805D2" w14:textId="598D48FA" w:rsidR="00EF68B8" w:rsidRPr="00E70ECD" w:rsidRDefault="00EF68B8" w:rsidP="00EF68B8">
            <w:pPr>
              <w:pStyle w:val="ListParagraph"/>
              <w:numPr>
                <w:ilvl w:val="0"/>
                <w:numId w:val="3"/>
              </w:numPr>
              <w:rPr>
                <w:b/>
              </w:rPr>
            </w:pPr>
            <w:r>
              <w:rPr>
                <w:b/>
                <w:bCs/>
              </w:rPr>
              <w:t xml:space="preserve">Senate </w:t>
            </w:r>
            <w:r w:rsidRPr="00E70ECD">
              <w:rPr>
                <w:b/>
                <w:bCs/>
              </w:rPr>
              <w:t>Executive Committee Report</w:t>
            </w:r>
          </w:p>
        </w:tc>
        <w:tc>
          <w:tcPr>
            <w:tcW w:w="4933" w:type="dxa"/>
          </w:tcPr>
          <w:p w14:paraId="463F29E8" w14:textId="7A98186F" w:rsidR="00EF68B8" w:rsidRDefault="00197293" w:rsidP="00197293">
            <w:r>
              <w:t>NA</w:t>
            </w:r>
          </w:p>
        </w:tc>
        <w:tc>
          <w:tcPr>
            <w:tcW w:w="2528" w:type="dxa"/>
          </w:tcPr>
          <w:p w14:paraId="3B7B4B86" w14:textId="7B0F6F8C" w:rsidR="00EF68B8" w:rsidRDefault="00EF68B8" w:rsidP="00EF68B8"/>
        </w:tc>
      </w:tr>
      <w:tr w:rsidR="00EF68B8" w14:paraId="627F0DBB" w14:textId="77777777" w:rsidTr="00197293">
        <w:tc>
          <w:tcPr>
            <w:tcW w:w="2344" w:type="dxa"/>
            <w:shd w:val="clear" w:color="auto" w:fill="BDD6EE" w:themeFill="accent1" w:themeFillTint="66"/>
          </w:tcPr>
          <w:p w14:paraId="5E258089" w14:textId="1EA8932C" w:rsidR="00EF68B8" w:rsidRPr="00E70ECD" w:rsidRDefault="00EF68B8" w:rsidP="00EF68B8">
            <w:pPr>
              <w:rPr>
                <w:b/>
                <w:bCs/>
              </w:rPr>
            </w:pPr>
          </w:p>
        </w:tc>
        <w:tc>
          <w:tcPr>
            <w:tcW w:w="4933" w:type="dxa"/>
            <w:shd w:val="clear" w:color="auto" w:fill="BDD6EE" w:themeFill="accent1" w:themeFillTint="66"/>
          </w:tcPr>
          <w:p w14:paraId="5AA6B9DB" w14:textId="4422CB7C" w:rsidR="00EF68B8" w:rsidRDefault="00EF68B8" w:rsidP="00EF68B8"/>
        </w:tc>
        <w:tc>
          <w:tcPr>
            <w:tcW w:w="2528" w:type="dxa"/>
            <w:shd w:val="clear" w:color="auto" w:fill="BDD6EE" w:themeFill="accent1" w:themeFillTint="66"/>
          </w:tcPr>
          <w:p w14:paraId="3A0FF5F2" w14:textId="05E53F59" w:rsidR="00EF68B8" w:rsidRDefault="00EF68B8" w:rsidP="00EF68B8"/>
        </w:tc>
      </w:tr>
      <w:tr w:rsidR="00EF68B8" w14:paraId="5630AD66" w14:textId="77777777" w:rsidTr="00197293">
        <w:tc>
          <w:tcPr>
            <w:tcW w:w="2344" w:type="dxa"/>
          </w:tcPr>
          <w:p w14:paraId="61829076" w14:textId="4CF29F41" w:rsidR="00EF68B8" w:rsidRPr="00E70ECD" w:rsidRDefault="00EF68B8" w:rsidP="00EF68B8">
            <w:pPr>
              <w:pStyle w:val="ListParagraph"/>
              <w:numPr>
                <w:ilvl w:val="0"/>
                <w:numId w:val="3"/>
              </w:numPr>
              <w:rPr>
                <w:b/>
              </w:rPr>
            </w:pPr>
            <w:r w:rsidRPr="00E70ECD">
              <w:rPr>
                <w:b/>
                <w:bCs/>
              </w:rPr>
              <w:t>Old Business</w:t>
            </w:r>
          </w:p>
        </w:tc>
        <w:tc>
          <w:tcPr>
            <w:tcW w:w="4933" w:type="dxa"/>
          </w:tcPr>
          <w:p w14:paraId="33198BA1" w14:textId="40AB6103" w:rsidR="00EF68B8" w:rsidRDefault="00EF68B8" w:rsidP="00EF68B8">
            <w:r>
              <w:t>NA</w:t>
            </w:r>
          </w:p>
          <w:p w14:paraId="2BA226A1" w14:textId="77777777" w:rsidR="00EF68B8" w:rsidRDefault="00EF68B8" w:rsidP="00EF68B8"/>
        </w:tc>
        <w:tc>
          <w:tcPr>
            <w:tcW w:w="2528" w:type="dxa"/>
          </w:tcPr>
          <w:p w14:paraId="17AD93B2" w14:textId="57AEE27E" w:rsidR="00EF68B8" w:rsidRDefault="00EF68B8" w:rsidP="00EF68B8"/>
        </w:tc>
      </w:tr>
      <w:tr w:rsidR="00EF68B8" w14:paraId="6481C582" w14:textId="77777777" w:rsidTr="00197293">
        <w:tc>
          <w:tcPr>
            <w:tcW w:w="2344" w:type="dxa"/>
            <w:shd w:val="clear" w:color="auto" w:fill="BDD6EE" w:themeFill="accent1" w:themeFillTint="66"/>
          </w:tcPr>
          <w:p w14:paraId="213A52DA" w14:textId="24291F00" w:rsidR="00EF68B8" w:rsidRPr="00E70ECD" w:rsidRDefault="00EF68B8" w:rsidP="00EF68B8">
            <w:pPr>
              <w:rPr>
                <w:b/>
                <w:bCs/>
              </w:rPr>
            </w:pPr>
          </w:p>
        </w:tc>
        <w:tc>
          <w:tcPr>
            <w:tcW w:w="4933" w:type="dxa"/>
            <w:shd w:val="clear" w:color="auto" w:fill="BDD6EE" w:themeFill="accent1" w:themeFillTint="66"/>
          </w:tcPr>
          <w:p w14:paraId="39609875" w14:textId="20532686" w:rsidR="00EF68B8" w:rsidRDefault="00EF68B8" w:rsidP="00EF68B8"/>
        </w:tc>
        <w:tc>
          <w:tcPr>
            <w:tcW w:w="2528" w:type="dxa"/>
            <w:shd w:val="clear" w:color="auto" w:fill="BDD6EE" w:themeFill="accent1" w:themeFillTint="66"/>
          </w:tcPr>
          <w:p w14:paraId="0DE4B5B7" w14:textId="5897095B" w:rsidR="00EF68B8" w:rsidRDefault="00EF68B8" w:rsidP="00EF68B8"/>
        </w:tc>
      </w:tr>
      <w:tr w:rsidR="00EF68B8" w14:paraId="66204FF1" w14:textId="77777777" w:rsidTr="00197293">
        <w:tc>
          <w:tcPr>
            <w:tcW w:w="2344" w:type="dxa"/>
          </w:tcPr>
          <w:p w14:paraId="2DBF0D7D" w14:textId="354ED767" w:rsidR="00EF68B8" w:rsidRPr="00E70ECD" w:rsidRDefault="00EF68B8" w:rsidP="00EF68B8">
            <w:pPr>
              <w:rPr>
                <w:b/>
              </w:rPr>
            </w:pPr>
            <w:r w:rsidRPr="00E70ECD">
              <w:rPr>
                <w:b/>
                <w:bCs/>
              </w:rPr>
              <w:t>Adjournment</w:t>
            </w:r>
          </w:p>
        </w:tc>
        <w:tc>
          <w:tcPr>
            <w:tcW w:w="4933" w:type="dxa"/>
          </w:tcPr>
          <w:p w14:paraId="6B62F1B3" w14:textId="4D35E3E2" w:rsidR="00EF68B8" w:rsidRDefault="00EF68B8" w:rsidP="00197293">
            <w:r>
              <w:t xml:space="preserve">Meeting adjourned  </w:t>
            </w:r>
            <w:r w:rsidR="00B536BE">
              <w:t>1: 2</w:t>
            </w:r>
            <w:r w:rsidR="00197293">
              <w:t>6</w:t>
            </w:r>
            <w:r w:rsidR="00B536BE">
              <w:t xml:space="preserve"> PM</w:t>
            </w:r>
          </w:p>
        </w:tc>
        <w:tc>
          <w:tcPr>
            <w:tcW w:w="2528" w:type="dxa"/>
          </w:tcPr>
          <w:p w14:paraId="1F5C4F15" w14:textId="2261C797" w:rsidR="00EF68B8" w:rsidRDefault="00EF68B8" w:rsidP="00EF68B8">
            <w:r>
              <w:t xml:space="preserve">Motion by </w:t>
            </w:r>
            <w:r w:rsidR="00197293">
              <w:t>J. Kinne</w:t>
            </w:r>
            <w:proofErr w:type="gramStart"/>
            <w:r w:rsidR="00B536BE">
              <w:t xml:space="preserve">, </w:t>
            </w:r>
            <w:r>
              <w:t xml:space="preserve"> </w:t>
            </w:r>
            <w:r w:rsidR="00B536BE">
              <w:t>second</w:t>
            </w:r>
            <w:proofErr w:type="gramEnd"/>
            <w:r w:rsidR="00B536BE">
              <w:t xml:space="preserve"> by </w:t>
            </w:r>
            <w:r w:rsidR="00197293">
              <w:t>W. Ko</w:t>
            </w:r>
            <w:r w:rsidR="00B536BE">
              <w:t>.</w:t>
            </w:r>
          </w:p>
          <w:p w14:paraId="02F2C34E" w14:textId="77777777" w:rsidR="00EF68B8" w:rsidRDefault="00EF68B8" w:rsidP="00EF68B8"/>
        </w:tc>
      </w:tr>
      <w:tr w:rsidR="00EF68B8" w14:paraId="362DD996" w14:textId="77777777" w:rsidTr="00197293">
        <w:tc>
          <w:tcPr>
            <w:tcW w:w="2344" w:type="dxa"/>
          </w:tcPr>
          <w:p w14:paraId="0B7F62C4" w14:textId="7B33EE8D" w:rsidR="00EF68B8" w:rsidRPr="00E70ECD" w:rsidRDefault="00EF68B8" w:rsidP="00EF68B8">
            <w:pPr>
              <w:rPr>
                <w:b/>
                <w:bCs/>
              </w:rPr>
            </w:pPr>
          </w:p>
        </w:tc>
        <w:tc>
          <w:tcPr>
            <w:tcW w:w="4933" w:type="dxa"/>
          </w:tcPr>
          <w:p w14:paraId="3F9E6051" w14:textId="6F78752B" w:rsidR="00EF68B8" w:rsidRDefault="00EF68B8" w:rsidP="00EF68B8"/>
        </w:tc>
        <w:tc>
          <w:tcPr>
            <w:tcW w:w="2528" w:type="dxa"/>
          </w:tcPr>
          <w:p w14:paraId="5A7C8996" w14:textId="44FE3925" w:rsidR="00EF68B8" w:rsidRDefault="00EF68B8" w:rsidP="00EF68B8"/>
        </w:tc>
      </w:tr>
    </w:tbl>
    <w:p w14:paraId="680A4E5D" w14:textId="77777777" w:rsidR="009017F3" w:rsidRPr="009017F3" w:rsidRDefault="009017F3" w:rsidP="009017F3"/>
    <w:sectPr w:rsidR="009017F3" w:rsidRPr="009017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7FBED" w14:textId="77777777" w:rsidR="00BC1CA2" w:rsidRDefault="00BC1CA2" w:rsidP="000F6CD0">
      <w:pPr>
        <w:spacing w:after="0" w:line="240" w:lineRule="auto"/>
      </w:pPr>
      <w:r>
        <w:separator/>
      </w:r>
    </w:p>
  </w:endnote>
  <w:endnote w:type="continuationSeparator" w:id="0">
    <w:p w14:paraId="70B2CD35" w14:textId="77777777" w:rsidR="00BC1CA2" w:rsidRDefault="00BC1CA2" w:rsidP="000F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serif">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12F76" w14:textId="77777777" w:rsidR="00BC1CA2" w:rsidRDefault="00BC1CA2" w:rsidP="000F6CD0">
      <w:pPr>
        <w:spacing w:after="0" w:line="240" w:lineRule="auto"/>
      </w:pPr>
      <w:r>
        <w:separator/>
      </w:r>
    </w:p>
  </w:footnote>
  <w:footnote w:type="continuationSeparator" w:id="0">
    <w:p w14:paraId="0803B7A3" w14:textId="77777777" w:rsidR="00BC1CA2" w:rsidRDefault="00BC1CA2" w:rsidP="000F6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2F1F" w14:textId="77777777" w:rsidR="008F7618" w:rsidRDefault="008F7618">
    <w:pPr>
      <w:pStyle w:val="Header"/>
    </w:pPr>
    <w:r>
      <w:t xml:space="preserve">                                                                                                                                                                   </w:t>
    </w:r>
    <w:proofErr w:type="gramStart"/>
    <w:r>
      <w:t>unapproved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41CD"/>
    <w:multiLevelType w:val="hybridMultilevel"/>
    <w:tmpl w:val="6D20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1C61"/>
    <w:multiLevelType w:val="hybridMultilevel"/>
    <w:tmpl w:val="2A3223A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E4672"/>
    <w:multiLevelType w:val="hybridMultilevel"/>
    <w:tmpl w:val="DF58B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F5E96"/>
    <w:multiLevelType w:val="hybridMultilevel"/>
    <w:tmpl w:val="7F6A7996"/>
    <w:lvl w:ilvl="0" w:tplc="384E867A">
      <w:start w:val="1"/>
      <w:numFmt w:val="decimal"/>
      <w:lvlText w:val="%1)"/>
      <w:lvlJc w:val="left"/>
      <w:pPr>
        <w:ind w:left="720" w:hanging="360"/>
      </w:pPr>
      <w:rPr>
        <w:rFonts w:ascii="Times New Roman ,serif" w:hAnsi="Times New Roman ,serif" w:cs="Times New Roman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A0243"/>
    <w:multiLevelType w:val="hybridMultilevel"/>
    <w:tmpl w:val="BD52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43774"/>
    <w:multiLevelType w:val="hybridMultilevel"/>
    <w:tmpl w:val="856E399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04231"/>
    <w:multiLevelType w:val="hybridMultilevel"/>
    <w:tmpl w:val="76AC4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62877"/>
    <w:multiLevelType w:val="hybridMultilevel"/>
    <w:tmpl w:val="C73E1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F3"/>
    <w:rsid w:val="00000F82"/>
    <w:rsid w:val="00012380"/>
    <w:rsid w:val="00017E93"/>
    <w:rsid w:val="00022204"/>
    <w:rsid w:val="000561E0"/>
    <w:rsid w:val="000856DA"/>
    <w:rsid w:val="000A4AA6"/>
    <w:rsid w:val="000A66E9"/>
    <w:rsid w:val="000C0034"/>
    <w:rsid w:val="000D27D6"/>
    <w:rsid w:val="000F6CD0"/>
    <w:rsid w:val="00151968"/>
    <w:rsid w:val="00166088"/>
    <w:rsid w:val="00197293"/>
    <w:rsid w:val="001973F4"/>
    <w:rsid w:val="001C1858"/>
    <w:rsid w:val="001C3488"/>
    <w:rsid w:val="001C4F2F"/>
    <w:rsid w:val="001D7500"/>
    <w:rsid w:val="0022031A"/>
    <w:rsid w:val="00253FCC"/>
    <w:rsid w:val="00276177"/>
    <w:rsid w:val="002B411B"/>
    <w:rsid w:val="002B5CA4"/>
    <w:rsid w:val="002D0103"/>
    <w:rsid w:val="002E6364"/>
    <w:rsid w:val="003012FE"/>
    <w:rsid w:val="00351490"/>
    <w:rsid w:val="00364EBA"/>
    <w:rsid w:val="003812D1"/>
    <w:rsid w:val="0038538E"/>
    <w:rsid w:val="003E11FD"/>
    <w:rsid w:val="003E41C6"/>
    <w:rsid w:val="004014F1"/>
    <w:rsid w:val="00407B02"/>
    <w:rsid w:val="0043475E"/>
    <w:rsid w:val="00455410"/>
    <w:rsid w:val="004B694F"/>
    <w:rsid w:val="004D4025"/>
    <w:rsid w:val="004F0223"/>
    <w:rsid w:val="004F309C"/>
    <w:rsid w:val="0050097A"/>
    <w:rsid w:val="00511107"/>
    <w:rsid w:val="005169A8"/>
    <w:rsid w:val="0053490F"/>
    <w:rsid w:val="00542088"/>
    <w:rsid w:val="0057452D"/>
    <w:rsid w:val="00584894"/>
    <w:rsid w:val="005B1E5F"/>
    <w:rsid w:val="005F79B1"/>
    <w:rsid w:val="00645174"/>
    <w:rsid w:val="006576C1"/>
    <w:rsid w:val="006A4890"/>
    <w:rsid w:val="006F44F9"/>
    <w:rsid w:val="0071310B"/>
    <w:rsid w:val="00747BEE"/>
    <w:rsid w:val="00897AA3"/>
    <w:rsid w:val="008C36E6"/>
    <w:rsid w:val="008F7618"/>
    <w:rsid w:val="009017F3"/>
    <w:rsid w:val="00913488"/>
    <w:rsid w:val="00927325"/>
    <w:rsid w:val="0093383D"/>
    <w:rsid w:val="00935DDE"/>
    <w:rsid w:val="00936ACA"/>
    <w:rsid w:val="00963EA6"/>
    <w:rsid w:val="009673A6"/>
    <w:rsid w:val="00967E2D"/>
    <w:rsid w:val="00995780"/>
    <w:rsid w:val="009A37AE"/>
    <w:rsid w:val="009C0400"/>
    <w:rsid w:val="009D303D"/>
    <w:rsid w:val="00A162A6"/>
    <w:rsid w:val="00A80FC4"/>
    <w:rsid w:val="00A830E0"/>
    <w:rsid w:val="00A9516D"/>
    <w:rsid w:val="00AA366F"/>
    <w:rsid w:val="00AC76C2"/>
    <w:rsid w:val="00AE635A"/>
    <w:rsid w:val="00B536BE"/>
    <w:rsid w:val="00BC1CA2"/>
    <w:rsid w:val="00BC288E"/>
    <w:rsid w:val="00C15BAA"/>
    <w:rsid w:val="00C166F7"/>
    <w:rsid w:val="00CD2D2D"/>
    <w:rsid w:val="00CE152A"/>
    <w:rsid w:val="00CE4364"/>
    <w:rsid w:val="00D164AA"/>
    <w:rsid w:val="00D17D86"/>
    <w:rsid w:val="00D31153"/>
    <w:rsid w:val="00D34E94"/>
    <w:rsid w:val="00D46A5E"/>
    <w:rsid w:val="00D520F6"/>
    <w:rsid w:val="00D6367E"/>
    <w:rsid w:val="00D87610"/>
    <w:rsid w:val="00DC141D"/>
    <w:rsid w:val="00E17628"/>
    <w:rsid w:val="00E22D61"/>
    <w:rsid w:val="00E24EE6"/>
    <w:rsid w:val="00E57DA4"/>
    <w:rsid w:val="00E70ECD"/>
    <w:rsid w:val="00E95AC2"/>
    <w:rsid w:val="00E968C2"/>
    <w:rsid w:val="00EC4256"/>
    <w:rsid w:val="00EF68B8"/>
    <w:rsid w:val="00F21AA0"/>
    <w:rsid w:val="00F47433"/>
    <w:rsid w:val="00F47550"/>
    <w:rsid w:val="00FA07FF"/>
    <w:rsid w:val="00FA454B"/>
    <w:rsid w:val="00FB4F82"/>
    <w:rsid w:val="00FC467E"/>
    <w:rsid w:val="00FF454E"/>
    <w:rsid w:val="081EA8A9"/>
    <w:rsid w:val="1A074E58"/>
    <w:rsid w:val="1C078F83"/>
    <w:rsid w:val="551990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60D6"/>
  <w15:chartTrackingRefBased/>
  <w15:docId w15:val="{7578E65F-3699-4697-81F3-C0BF4A83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7F3"/>
    <w:pPr>
      <w:ind w:left="720"/>
      <w:contextualSpacing/>
    </w:pPr>
  </w:style>
  <w:style w:type="paragraph" w:styleId="Header">
    <w:name w:val="header"/>
    <w:basedOn w:val="Normal"/>
    <w:link w:val="HeaderChar"/>
    <w:uiPriority w:val="99"/>
    <w:unhideWhenUsed/>
    <w:rsid w:val="000F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CD0"/>
  </w:style>
  <w:style w:type="paragraph" w:styleId="Footer">
    <w:name w:val="footer"/>
    <w:basedOn w:val="Normal"/>
    <w:link w:val="FooterChar"/>
    <w:uiPriority w:val="99"/>
    <w:unhideWhenUsed/>
    <w:rsid w:val="000F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0109">
      <w:bodyDiv w:val="1"/>
      <w:marLeft w:val="0"/>
      <w:marRight w:val="0"/>
      <w:marTop w:val="0"/>
      <w:marBottom w:val="0"/>
      <w:divBdr>
        <w:top w:val="none" w:sz="0" w:space="0" w:color="auto"/>
        <w:left w:val="none" w:sz="0" w:space="0" w:color="auto"/>
        <w:bottom w:val="none" w:sz="0" w:space="0" w:color="auto"/>
        <w:right w:val="none" w:sz="0" w:space="0" w:color="auto"/>
      </w:divBdr>
    </w:div>
    <w:div w:id="376005710">
      <w:bodyDiv w:val="1"/>
      <w:marLeft w:val="0"/>
      <w:marRight w:val="0"/>
      <w:marTop w:val="0"/>
      <w:marBottom w:val="0"/>
      <w:divBdr>
        <w:top w:val="none" w:sz="0" w:space="0" w:color="auto"/>
        <w:left w:val="none" w:sz="0" w:space="0" w:color="auto"/>
        <w:bottom w:val="none" w:sz="0" w:space="0" w:color="auto"/>
        <w:right w:val="none" w:sz="0" w:space="0" w:color="auto"/>
      </w:divBdr>
    </w:div>
    <w:div w:id="584151169">
      <w:bodyDiv w:val="1"/>
      <w:marLeft w:val="0"/>
      <w:marRight w:val="0"/>
      <w:marTop w:val="0"/>
      <w:marBottom w:val="0"/>
      <w:divBdr>
        <w:top w:val="none" w:sz="0" w:space="0" w:color="auto"/>
        <w:left w:val="none" w:sz="0" w:space="0" w:color="auto"/>
        <w:bottom w:val="none" w:sz="0" w:space="0" w:color="auto"/>
        <w:right w:val="none" w:sz="0" w:space="0" w:color="auto"/>
      </w:divBdr>
    </w:div>
    <w:div w:id="719790217">
      <w:bodyDiv w:val="1"/>
      <w:marLeft w:val="0"/>
      <w:marRight w:val="0"/>
      <w:marTop w:val="0"/>
      <w:marBottom w:val="0"/>
      <w:divBdr>
        <w:top w:val="none" w:sz="0" w:space="0" w:color="auto"/>
        <w:left w:val="none" w:sz="0" w:space="0" w:color="auto"/>
        <w:bottom w:val="none" w:sz="0" w:space="0" w:color="auto"/>
        <w:right w:val="none" w:sz="0" w:space="0" w:color="auto"/>
      </w:divBdr>
    </w:div>
    <w:div w:id="1049763460">
      <w:bodyDiv w:val="1"/>
      <w:marLeft w:val="0"/>
      <w:marRight w:val="0"/>
      <w:marTop w:val="0"/>
      <w:marBottom w:val="0"/>
      <w:divBdr>
        <w:top w:val="none" w:sz="0" w:space="0" w:color="auto"/>
        <w:left w:val="none" w:sz="0" w:space="0" w:color="auto"/>
        <w:bottom w:val="none" w:sz="0" w:space="0" w:color="auto"/>
        <w:right w:val="none" w:sz="0" w:space="0" w:color="auto"/>
      </w:divBdr>
    </w:div>
    <w:div w:id="1339700988">
      <w:bodyDiv w:val="1"/>
      <w:marLeft w:val="0"/>
      <w:marRight w:val="0"/>
      <w:marTop w:val="0"/>
      <w:marBottom w:val="0"/>
      <w:divBdr>
        <w:top w:val="none" w:sz="0" w:space="0" w:color="auto"/>
        <w:left w:val="none" w:sz="0" w:space="0" w:color="auto"/>
        <w:bottom w:val="none" w:sz="0" w:space="0" w:color="auto"/>
        <w:right w:val="none" w:sz="0" w:space="0" w:color="auto"/>
      </w:divBdr>
    </w:div>
    <w:div w:id="1385328547">
      <w:bodyDiv w:val="1"/>
      <w:marLeft w:val="0"/>
      <w:marRight w:val="0"/>
      <w:marTop w:val="0"/>
      <w:marBottom w:val="0"/>
      <w:divBdr>
        <w:top w:val="none" w:sz="0" w:space="0" w:color="auto"/>
        <w:left w:val="none" w:sz="0" w:space="0" w:color="auto"/>
        <w:bottom w:val="none" w:sz="0" w:space="0" w:color="auto"/>
        <w:right w:val="none" w:sz="0" w:space="0" w:color="auto"/>
      </w:divBdr>
    </w:div>
    <w:div w:id="1817068568">
      <w:bodyDiv w:val="1"/>
      <w:marLeft w:val="0"/>
      <w:marRight w:val="0"/>
      <w:marTop w:val="0"/>
      <w:marBottom w:val="0"/>
      <w:divBdr>
        <w:top w:val="none" w:sz="0" w:space="0" w:color="auto"/>
        <w:left w:val="none" w:sz="0" w:space="0" w:color="auto"/>
        <w:bottom w:val="none" w:sz="0" w:space="0" w:color="auto"/>
        <w:right w:val="none" w:sz="0" w:space="0" w:color="auto"/>
      </w:divBdr>
    </w:div>
    <w:div w:id="1825395777">
      <w:bodyDiv w:val="1"/>
      <w:marLeft w:val="0"/>
      <w:marRight w:val="0"/>
      <w:marTop w:val="0"/>
      <w:marBottom w:val="0"/>
      <w:divBdr>
        <w:top w:val="none" w:sz="0" w:space="0" w:color="auto"/>
        <w:left w:val="none" w:sz="0" w:space="0" w:color="auto"/>
        <w:bottom w:val="none" w:sz="0" w:space="0" w:color="auto"/>
        <w:right w:val="none" w:sz="0" w:space="0" w:color="auto"/>
      </w:divBdr>
    </w:div>
    <w:div w:id="201355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3CEB99-C210-49AB-9C55-B236318F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5482F4-0B88-43A0-A68D-D6AAE606EBF6}">
  <ds:schemaRefs>
    <ds:schemaRef ds:uri="http://schemas.microsoft.com/sharepoint/v3/contenttype/forms"/>
  </ds:schemaRefs>
</ds:datastoreItem>
</file>

<file path=customXml/itemProps3.xml><?xml version="1.0" encoding="utf-8"?>
<ds:datastoreItem xmlns:ds="http://schemas.openxmlformats.org/officeDocument/2006/customXml" ds:itemID="{B8EE253A-7DEF-4E10-A6F7-69F08AE3D6C2}">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metadata/properties"/>
    <ds:schemaRef ds:uri="baf45800-202a-4d04-9eb1-dcead2d857c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Potts</dc:creator>
  <cp:keywords/>
  <dc:description/>
  <cp:lastModifiedBy>Joie Harney</cp:lastModifiedBy>
  <cp:revision>2</cp:revision>
  <dcterms:created xsi:type="dcterms:W3CDTF">2019-12-09T15:54:00Z</dcterms:created>
  <dcterms:modified xsi:type="dcterms:W3CDTF">2019-12-09T15:54:00Z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