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7292" w14:textId="00626B17" w:rsidR="0037110B" w:rsidRPr="005918E1" w:rsidRDefault="008D5C2C" w:rsidP="005918E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D5C2C">
        <w:rPr>
          <w:color w:val="000000"/>
          <w:sz w:val="28"/>
          <w:szCs w:val="28"/>
        </w:rPr>
        <w:t>Faculty Economic Benefits Committee</w:t>
      </w:r>
      <w:r>
        <w:rPr>
          <w:color w:val="000000"/>
          <w:sz w:val="28"/>
          <w:szCs w:val="28"/>
        </w:rPr>
        <w:t>-</w:t>
      </w:r>
      <w:r w:rsidRPr="008D5C2C">
        <w:rPr>
          <w:color w:val="000000"/>
          <w:sz w:val="28"/>
          <w:szCs w:val="28"/>
        </w:rPr>
        <w:t>2019-2020</w:t>
      </w:r>
    </w:p>
    <w:p w14:paraId="34143F07" w14:textId="77777777" w:rsidR="0037110B" w:rsidRDefault="0037110B">
      <w:pPr>
        <w:rPr>
          <w:rFonts w:ascii="Times New Roman" w:hAnsi="Times New Roman"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7"/>
        <w:gridCol w:w="1453"/>
        <w:gridCol w:w="17"/>
        <w:gridCol w:w="1771"/>
        <w:gridCol w:w="2519"/>
        <w:gridCol w:w="1229"/>
        <w:gridCol w:w="493"/>
        <w:gridCol w:w="2059"/>
      </w:tblGrid>
      <w:tr w:rsidR="00257298" w14:paraId="24DA40E6" w14:textId="77777777" w:rsidTr="00DC3788">
        <w:trPr>
          <w:gridBefore w:val="1"/>
          <w:wBefore w:w="17" w:type="dxa"/>
        </w:trPr>
        <w:tc>
          <w:tcPr>
            <w:tcW w:w="1470" w:type="dxa"/>
            <w:gridSpan w:val="2"/>
            <w:shd w:val="clear" w:color="auto" w:fill="DBE5F1"/>
          </w:tcPr>
          <w:p w14:paraId="07C2D047" w14:textId="5046413F" w:rsidR="00257298" w:rsidRPr="00883D52" w:rsidRDefault="00257298" w:rsidP="0037110B">
            <w:pPr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 xml:space="preserve">Meeting </w:t>
            </w:r>
            <w:r>
              <w:rPr>
                <w:rFonts w:ascii="Times New Roman" w:hAnsi="Times New Roman" w:cs="Times New Roman"/>
                <w:b/>
              </w:rPr>
              <w:t>#</w:t>
            </w:r>
            <w:r w:rsidR="00275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1" w:type="dxa"/>
            <w:gridSpan w:val="5"/>
            <w:shd w:val="clear" w:color="auto" w:fill="DBE5F1"/>
          </w:tcPr>
          <w:p w14:paraId="57BCFA60" w14:textId="35E10962" w:rsidR="00257298" w:rsidRPr="00883D52" w:rsidRDefault="00257298" w:rsidP="001E0222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E0222">
              <w:rPr>
                <w:rFonts w:ascii="Times New Roman" w:hAnsi="Times New Roman" w:cs="Times New Roman"/>
                <w:b/>
              </w:rPr>
              <w:t>Oct. 2</w:t>
            </w:r>
            <w:r>
              <w:rPr>
                <w:rFonts w:ascii="Times New Roman" w:hAnsi="Times New Roman" w:cs="Times New Roman"/>
                <w:b/>
              </w:rPr>
              <w:t>, 2019</w:t>
            </w:r>
            <w:r w:rsidR="005918E1">
              <w:rPr>
                <w:rFonts w:ascii="Times New Roman" w:hAnsi="Times New Roman" w:cs="Times New Roman"/>
                <w:b/>
              </w:rPr>
              <w:t xml:space="preserve"> at </w:t>
            </w:r>
            <w:r w:rsidR="009D2462">
              <w:rPr>
                <w:rFonts w:ascii="Times New Roman" w:hAnsi="Times New Roman" w:cs="Times New Roman"/>
                <w:b/>
              </w:rPr>
              <w:t xml:space="preserve">10am. </w:t>
            </w:r>
            <w:r w:rsidR="005918E1" w:rsidRPr="005918E1">
              <w:rPr>
                <w:color w:val="000000"/>
              </w:rPr>
              <w:t>Homestedt Hall 280</w:t>
            </w:r>
          </w:p>
        </w:tc>
      </w:tr>
      <w:tr w:rsidR="0037110B" w14:paraId="0C212CA3" w14:textId="77777777" w:rsidTr="00DC3788">
        <w:tblPrEx>
          <w:shd w:val="clear" w:color="auto" w:fill="auto"/>
        </w:tblPrEx>
        <w:trPr>
          <w:gridBefore w:val="1"/>
          <w:wBefore w:w="17" w:type="dxa"/>
        </w:trPr>
        <w:tc>
          <w:tcPr>
            <w:tcW w:w="1453" w:type="dxa"/>
            <w:shd w:val="clear" w:color="auto" w:fill="auto"/>
          </w:tcPr>
          <w:p w14:paraId="63F87F42" w14:textId="77777777" w:rsidR="0037110B" w:rsidRPr="00883D52" w:rsidRDefault="0037110B" w:rsidP="0037110B">
            <w:pPr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Chair</w:t>
            </w:r>
          </w:p>
        </w:tc>
        <w:tc>
          <w:tcPr>
            <w:tcW w:w="8088" w:type="dxa"/>
            <w:gridSpan w:val="6"/>
            <w:shd w:val="clear" w:color="auto" w:fill="auto"/>
          </w:tcPr>
          <w:p w14:paraId="4F3700A9" w14:textId="105E9A9A" w:rsidR="0037110B" w:rsidRPr="00883D52" w:rsidRDefault="00257298" w:rsidP="0037110B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</w:rPr>
              <w:t xml:space="preserve">Kevin Bolinger </w:t>
            </w:r>
            <w:r w:rsidR="0037110B" w:rsidRPr="00883D52">
              <w:rPr>
                <w:rFonts w:ascii="Times New Roman" w:hAnsi="Times New Roman" w:cs="Times New Roman"/>
              </w:rPr>
              <w:t>(convener)</w:t>
            </w:r>
          </w:p>
        </w:tc>
      </w:tr>
      <w:tr w:rsidR="0037110B" w14:paraId="7C3B7C39" w14:textId="77777777" w:rsidTr="00DC3788">
        <w:tblPrEx>
          <w:shd w:val="clear" w:color="auto" w:fill="auto"/>
        </w:tblPrEx>
        <w:trPr>
          <w:gridBefore w:val="1"/>
          <w:wBefore w:w="17" w:type="dxa"/>
        </w:trPr>
        <w:tc>
          <w:tcPr>
            <w:tcW w:w="1470" w:type="dxa"/>
            <w:gridSpan w:val="2"/>
            <w:shd w:val="clear" w:color="auto" w:fill="auto"/>
          </w:tcPr>
          <w:p w14:paraId="6FBA2980" w14:textId="77777777" w:rsidR="0037110B" w:rsidRPr="00883D52" w:rsidRDefault="0037110B" w:rsidP="0037110B">
            <w:pPr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Attendees</w:t>
            </w:r>
          </w:p>
        </w:tc>
        <w:tc>
          <w:tcPr>
            <w:tcW w:w="8071" w:type="dxa"/>
            <w:gridSpan w:val="5"/>
            <w:shd w:val="clear" w:color="auto" w:fill="auto"/>
          </w:tcPr>
          <w:p w14:paraId="53D70DDB" w14:textId="03974BCE" w:rsidR="0037110B" w:rsidRPr="00883D52" w:rsidRDefault="0037110B" w:rsidP="00782F36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</w:rPr>
              <w:t>M. Affan Badar, Sandeep Bhowmick, Kevin Bolinger, Richard Fitch, Debra Israel</w:t>
            </w:r>
            <w:r w:rsidR="00B34CB8">
              <w:rPr>
                <w:rFonts w:ascii="Times New Roman" w:hAnsi="Times New Roman" w:cs="Times New Roman"/>
              </w:rPr>
              <w:t xml:space="preserve">, Jill Moore </w:t>
            </w:r>
            <w:r w:rsidRPr="00883D52">
              <w:rPr>
                <w:rFonts w:ascii="Times New Roman" w:hAnsi="Times New Roman" w:cs="Times New Roman"/>
              </w:rPr>
              <w:t>Ex-officio: Shelley Arvin, Mark Green</w:t>
            </w:r>
          </w:p>
        </w:tc>
      </w:tr>
      <w:tr w:rsidR="0037110B" w14:paraId="4AA38212" w14:textId="77777777" w:rsidTr="00DC3788">
        <w:tblPrEx>
          <w:shd w:val="clear" w:color="auto" w:fill="auto"/>
        </w:tblPrEx>
        <w:trPr>
          <w:gridBefore w:val="1"/>
          <w:wBefore w:w="17" w:type="dxa"/>
        </w:trPr>
        <w:tc>
          <w:tcPr>
            <w:tcW w:w="1470" w:type="dxa"/>
            <w:gridSpan w:val="2"/>
            <w:shd w:val="clear" w:color="auto" w:fill="auto"/>
          </w:tcPr>
          <w:p w14:paraId="1119859B" w14:textId="77777777" w:rsidR="0037110B" w:rsidRPr="00883D52" w:rsidRDefault="0037110B" w:rsidP="0037110B">
            <w:pPr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Absent</w:t>
            </w:r>
          </w:p>
        </w:tc>
        <w:tc>
          <w:tcPr>
            <w:tcW w:w="8071" w:type="dxa"/>
            <w:gridSpan w:val="5"/>
            <w:shd w:val="clear" w:color="auto" w:fill="auto"/>
          </w:tcPr>
          <w:p w14:paraId="1B273831" w14:textId="69A9AA27" w:rsidR="0037110B" w:rsidRPr="00883D52" w:rsidRDefault="00782F36" w:rsidP="0037110B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</w:rPr>
              <w:t xml:space="preserve"> </w:t>
            </w:r>
            <w:r w:rsidR="00B34CB8">
              <w:rPr>
                <w:rFonts w:ascii="Times New Roman" w:hAnsi="Times New Roman" w:cs="Times New Roman"/>
              </w:rPr>
              <w:t>Matt Cohen</w:t>
            </w:r>
          </w:p>
        </w:tc>
      </w:tr>
      <w:tr w:rsidR="0037110B" w14:paraId="63F76752" w14:textId="77777777" w:rsidTr="00DC3788">
        <w:tblPrEx>
          <w:shd w:val="clear" w:color="auto" w:fill="auto"/>
        </w:tblPrEx>
        <w:trPr>
          <w:gridBefore w:val="1"/>
          <w:wBefore w:w="17" w:type="dxa"/>
        </w:trPr>
        <w:tc>
          <w:tcPr>
            <w:tcW w:w="1470" w:type="dxa"/>
            <w:gridSpan w:val="2"/>
            <w:shd w:val="clear" w:color="auto" w:fill="auto"/>
          </w:tcPr>
          <w:p w14:paraId="7DC1D74F" w14:textId="77777777" w:rsidR="0037110B" w:rsidRPr="00883D52" w:rsidRDefault="0037110B" w:rsidP="0037110B">
            <w:pPr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Guests</w:t>
            </w:r>
          </w:p>
        </w:tc>
        <w:tc>
          <w:tcPr>
            <w:tcW w:w="8071" w:type="dxa"/>
            <w:gridSpan w:val="5"/>
            <w:shd w:val="clear" w:color="auto" w:fill="auto"/>
          </w:tcPr>
          <w:p w14:paraId="106DEBB0" w14:textId="77777777" w:rsidR="0037110B" w:rsidRPr="00883D52" w:rsidRDefault="0037110B" w:rsidP="0037110B">
            <w:pPr>
              <w:rPr>
                <w:rFonts w:ascii="Times New Roman" w:hAnsi="Times New Roman" w:cs="Times New Roman"/>
              </w:rPr>
            </w:pPr>
          </w:p>
        </w:tc>
      </w:tr>
      <w:tr w:rsidR="0037110B" w:rsidRPr="00071638" w14:paraId="69A4DAA0" w14:textId="77777777" w:rsidTr="00AD3A65">
        <w:tc>
          <w:tcPr>
            <w:tcW w:w="3258" w:type="dxa"/>
            <w:gridSpan w:val="4"/>
            <w:shd w:val="clear" w:color="auto" w:fill="DBE5F1"/>
          </w:tcPr>
          <w:p w14:paraId="2543B152" w14:textId="54E413CE" w:rsidR="0037110B" w:rsidRPr="00883D52" w:rsidRDefault="0037110B" w:rsidP="00AD3A65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  <w:b/>
              </w:rPr>
              <w:t xml:space="preserve">Call to Order Time:  </w:t>
            </w:r>
            <w:r w:rsidR="00AD3A65">
              <w:rPr>
                <w:rFonts w:ascii="Times New Roman" w:hAnsi="Times New Roman" w:cs="Times New Roman"/>
                <w:b/>
              </w:rPr>
              <w:t>10.02am</w:t>
            </w:r>
          </w:p>
        </w:tc>
        <w:tc>
          <w:tcPr>
            <w:tcW w:w="3748" w:type="dxa"/>
            <w:gridSpan w:val="2"/>
            <w:shd w:val="clear" w:color="auto" w:fill="DBE5F1"/>
          </w:tcPr>
          <w:p w14:paraId="30F66C49" w14:textId="77777777" w:rsidR="0037110B" w:rsidRPr="00883D52" w:rsidRDefault="0037110B" w:rsidP="0037110B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  <w:b/>
              </w:rPr>
              <w:t xml:space="preserve">Place:  </w:t>
            </w:r>
            <w:r w:rsidRPr="00883D52">
              <w:rPr>
                <w:rFonts w:ascii="Times New Roman" w:hAnsi="Times New Roman" w:cs="Times New Roman"/>
              </w:rPr>
              <w:t>Holmstedt Hall 280</w:t>
            </w:r>
          </w:p>
        </w:tc>
        <w:tc>
          <w:tcPr>
            <w:tcW w:w="2552" w:type="dxa"/>
            <w:gridSpan w:val="2"/>
            <w:shd w:val="clear" w:color="auto" w:fill="DBE5F1"/>
          </w:tcPr>
          <w:p w14:paraId="78A4E9A8" w14:textId="77777777" w:rsidR="0037110B" w:rsidRPr="00883D52" w:rsidRDefault="0037110B" w:rsidP="0037110B">
            <w:pPr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  <w:b/>
              </w:rPr>
              <w:t>By:  Kevin Bolinger</w:t>
            </w:r>
          </w:p>
        </w:tc>
      </w:tr>
      <w:tr w:rsidR="0037110B" w:rsidRPr="00370748" w14:paraId="21C1B786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74640B0E" w14:textId="77777777" w:rsidR="0037110B" w:rsidRPr="00883D52" w:rsidRDefault="0037110B" w:rsidP="00371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3D091D9C" w14:textId="361830FA" w:rsidR="0037110B" w:rsidRPr="00883D52" w:rsidRDefault="0037110B" w:rsidP="00371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52">
              <w:rPr>
                <w:rFonts w:ascii="Times New Roman" w:hAnsi="Times New Roman" w:cs="Times New Roman"/>
                <w:b/>
              </w:rPr>
              <w:t>Discussion</w:t>
            </w:r>
            <w:r w:rsidR="00441E15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441E15" w:rsidRPr="00606C27" w14:paraId="70B07779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1FAA5EF5" w14:textId="2DF8F061" w:rsidR="00441E15" w:rsidRPr="00883D52" w:rsidRDefault="00441E15" w:rsidP="0037110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</w:rPr>
              <w:t>Approval of previous minutes</w:t>
            </w:r>
            <w:r w:rsidR="00B34CB8">
              <w:rPr>
                <w:rFonts w:ascii="Times New Roman" w:hAnsi="Times New Roman" w:cs="Times New Roman"/>
              </w:rPr>
              <w:t xml:space="preserve"> (#1 and 2)</w:t>
            </w:r>
          </w:p>
        </w:tc>
        <w:tc>
          <w:tcPr>
            <w:tcW w:w="2519" w:type="dxa"/>
            <w:shd w:val="clear" w:color="auto" w:fill="auto"/>
          </w:tcPr>
          <w:p w14:paraId="18FB44B8" w14:textId="63F19D93" w:rsidR="00441E15" w:rsidRPr="00883D52" w:rsidRDefault="00F715F5" w:rsidP="00782F36">
            <w:pPr>
              <w:pStyle w:val="ColorfulList-Accent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Motion: </w:t>
            </w:r>
            <w:r w:rsidR="00441E15" w:rsidRPr="00883D52">
              <w:rPr>
                <w:rFonts w:ascii="Times New Roman" w:hAnsi="Times New Roman"/>
                <w:sz w:val="24"/>
                <w:szCs w:val="24"/>
              </w:rPr>
              <w:t>DI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7A88069B" w14:textId="3DC4CF11" w:rsidR="00441E15" w:rsidRPr="00883D52" w:rsidRDefault="00441E15" w:rsidP="00F715F5">
            <w:pPr>
              <w:pStyle w:val="ColorfulList-Accent11"/>
              <w:ind w:left="342" w:hanging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Second:</w:t>
            </w:r>
            <w:r w:rsidR="00F7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222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059" w:type="dxa"/>
            <w:shd w:val="clear" w:color="auto" w:fill="auto"/>
          </w:tcPr>
          <w:p w14:paraId="4F725840" w14:textId="29B04C40" w:rsidR="00441E15" w:rsidRPr="00883D52" w:rsidRDefault="00441E15" w:rsidP="00782F36">
            <w:pPr>
              <w:pStyle w:val="ColorfulList-Accent11"/>
              <w:ind w:left="342" w:firstLine="0"/>
              <w:rPr>
                <w:rFonts w:ascii="Times New Roman" w:hAnsi="Times New Roman"/>
                <w:sz w:val="24"/>
                <w:szCs w:val="24"/>
              </w:rPr>
            </w:pPr>
            <w:r w:rsidRPr="00883D52">
              <w:rPr>
                <w:rFonts w:ascii="Times New Roman" w:hAnsi="Times New Roman"/>
                <w:sz w:val="24"/>
                <w:szCs w:val="24"/>
              </w:rPr>
              <w:t xml:space="preserve">Vote:  </w:t>
            </w:r>
            <w:r w:rsidR="001E0222">
              <w:rPr>
                <w:rFonts w:ascii="Times New Roman" w:hAnsi="Times New Roman"/>
                <w:sz w:val="24"/>
                <w:szCs w:val="24"/>
              </w:rPr>
              <w:t>5-0-1</w:t>
            </w:r>
          </w:p>
        </w:tc>
      </w:tr>
      <w:tr w:rsidR="001E0222" w:rsidRPr="00606C27" w14:paraId="17172C11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76F35601" w14:textId="1BD0DA4C" w:rsidR="001E0222" w:rsidRPr="00883D52" w:rsidRDefault="001E0222" w:rsidP="0037110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Diane MCkee </w:t>
            </w:r>
            <w:r w:rsidR="00AD3A65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35ABDDFA" w14:textId="47716D43" w:rsidR="001E0222" w:rsidRDefault="00AD3A65" w:rsidP="0088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56DD">
              <w:rPr>
                <w:rFonts w:ascii="Times New Roman" w:hAnsi="Times New Roman" w:cs="Times New Roman"/>
              </w:rPr>
              <w:t xml:space="preserve">Motion: </w:t>
            </w:r>
            <w:r w:rsidR="00D54DF4">
              <w:rPr>
                <w:rFonts w:ascii="Times New Roman" w:hAnsi="Times New Roman" w:cs="Times New Roman"/>
              </w:rPr>
              <w:t>A</w:t>
            </w:r>
            <w:r w:rsidR="005D56DD">
              <w:rPr>
                <w:rFonts w:ascii="Times New Roman" w:hAnsi="Times New Roman" w:cs="Times New Roman"/>
              </w:rPr>
              <w:t xml:space="preserve">B                            Second </w:t>
            </w:r>
            <w:r w:rsidR="001E0222">
              <w:rPr>
                <w:rFonts w:ascii="Times New Roman" w:hAnsi="Times New Roman" w:cs="Times New Roman"/>
              </w:rPr>
              <w:t>KB</w:t>
            </w:r>
            <w:r w:rsidR="005D56DD">
              <w:rPr>
                <w:rFonts w:ascii="Times New Roman" w:hAnsi="Times New Roman" w:cs="Times New Roman"/>
              </w:rPr>
              <w:t xml:space="preserve">                       </w:t>
            </w:r>
            <w:r w:rsidR="001E0222">
              <w:rPr>
                <w:rFonts w:ascii="Times New Roman" w:hAnsi="Times New Roman" w:cs="Times New Roman"/>
              </w:rPr>
              <w:t xml:space="preserve"> 4-0-2</w:t>
            </w:r>
          </w:p>
          <w:p w14:paraId="70375DD2" w14:textId="75DB1732" w:rsidR="001E0222" w:rsidRPr="00883D52" w:rsidRDefault="001E0222" w:rsidP="0088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DI:</w:t>
            </w:r>
            <w:r w:rsidR="005D56DD">
              <w:rPr>
                <w:rFonts w:ascii="Times New Roman" w:hAnsi="Times New Roman" w:cs="Times New Roman"/>
              </w:rPr>
              <w:t xml:space="preserve"> change K</w:t>
            </w:r>
            <w:r>
              <w:rPr>
                <w:rFonts w:ascii="Times New Roman" w:hAnsi="Times New Roman" w:cs="Times New Roman"/>
              </w:rPr>
              <w:t>urtis to president Kurtis</w:t>
            </w:r>
          </w:p>
        </w:tc>
      </w:tr>
      <w:tr w:rsidR="0037110B" w:rsidRPr="00606C27" w14:paraId="06F027BA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3CE45033" w14:textId="1D6F989D" w:rsidR="0037110B" w:rsidRPr="00883D52" w:rsidRDefault="00883D52" w:rsidP="001E022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883D52">
              <w:rPr>
                <w:rFonts w:ascii="Times New Roman" w:hAnsi="Times New Roman" w:cs="Times New Roman"/>
              </w:rPr>
              <w:t xml:space="preserve"> </w:t>
            </w:r>
            <w:r w:rsidR="001E02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09B7C031" w14:textId="728F39B0" w:rsidR="0037110B" w:rsidRDefault="001E022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KB: salary recommendation / thoughts on Diane’s visit</w:t>
            </w:r>
          </w:p>
          <w:p w14:paraId="4AE852F2" w14:textId="7EEF68DF" w:rsidR="001E0222" w:rsidRDefault="001E022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DI: </w:t>
            </w:r>
            <w:r w:rsidR="00B34CB8">
              <w:rPr>
                <w:rFonts w:ascii="Times New Roman" w:hAnsi="Times New Roman" w:cs="Times New Roman"/>
              </w:rPr>
              <w:t>The president has announced a</w:t>
            </w:r>
            <w:r w:rsidR="004268C2">
              <w:rPr>
                <w:rFonts w:ascii="Times New Roman" w:hAnsi="Times New Roman" w:cs="Times New Roman"/>
              </w:rPr>
              <w:t>t least 1% increase/$500 whichever is higher</w:t>
            </w:r>
            <w:r w:rsidR="004268C2">
              <w:rPr>
                <w:rFonts w:ascii="Times New Roman" w:hAnsi="Times New Roman" w:cs="Times New Roman"/>
              </w:rPr>
              <w:br/>
              <w:t xml:space="preserve">KB: would have preferred a flat increase, as it is timed to biennial, language of handbook on penalties </w:t>
            </w:r>
          </w:p>
          <w:p w14:paraId="5E7525DF" w14:textId="21B7BF74" w:rsidR="004268C2" w:rsidRDefault="004268C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SA: the technical difficulties </w:t>
            </w:r>
            <w:r w:rsidR="00B34CB8">
              <w:rPr>
                <w:rFonts w:ascii="Times New Roman" w:hAnsi="Times New Roman" w:cs="Times New Roman"/>
              </w:rPr>
              <w:t xml:space="preserve">in submitting to FAD </w:t>
            </w:r>
            <w:r>
              <w:rPr>
                <w:rFonts w:ascii="Times New Roman" w:hAnsi="Times New Roman" w:cs="Times New Roman"/>
              </w:rPr>
              <w:t>was discussed at exec; auto submit</w:t>
            </w:r>
            <w:r w:rsidR="00D54DF4">
              <w:rPr>
                <w:rFonts w:ascii="Times New Roman" w:hAnsi="Times New Roman" w:cs="Times New Roman"/>
              </w:rPr>
              <w:t xml:space="preserve"> is a possibility.</w:t>
            </w:r>
          </w:p>
          <w:p w14:paraId="7BA50B19" w14:textId="23A963CF" w:rsidR="004268C2" w:rsidRDefault="004268C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DI: the goal was to catch people who are not willing to submit at all; RF: new system/auto populate; KB: auto-submit doesn’t capture anything other than the course taught</w:t>
            </w:r>
          </w:p>
          <w:p w14:paraId="0D7E0BBD" w14:textId="738BE2FE" w:rsidR="004268C2" w:rsidRDefault="004268C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KB: it's a year to year process; how to think long term</w:t>
            </w:r>
            <w:r w:rsidR="00D54DF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what happens when there </w:t>
            </w:r>
            <w:r w:rsidR="00D54DF4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compression</w:t>
            </w:r>
            <w:r w:rsidR="00D54DF4">
              <w:rPr>
                <w:rFonts w:ascii="Times New Roman" w:hAnsi="Times New Roman" w:cs="Times New Roman"/>
              </w:rPr>
              <w:t>?</w:t>
            </w:r>
          </w:p>
          <w:p w14:paraId="2793B95D" w14:textId="28F8E2AF" w:rsidR="004268C2" w:rsidRDefault="004268C2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DI: Make some salary recommendation after looking at the October report; actual evaluation be done what was accomplished under Bradley model, and how things have changed, in broad sweep KB: clarify overall strategies or </w:t>
            </w:r>
            <w:r w:rsidR="00B80A7F">
              <w:rPr>
                <w:rFonts w:ascii="Times New Roman" w:hAnsi="Times New Roman" w:cs="Times New Roman"/>
              </w:rPr>
              <w:t>more specific</w:t>
            </w:r>
            <w:r w:rsidR="00AD3A65">
              <w:rPr>
                <w:rFonts w:ascii="Times New Roman" w:hAnsi="Times New Roman" w:cs="Times New Roman"/>
              </w:rPr>
              <w:t>s</w:t>
            </w:r>
            <w:r w:rsidR="00B80A7F">
              <w:rPr>
                <w:rFonts w:ascii="Times New Roman" w:hAnsi="Times New Roman" w:cs="Times New Roman"/>
              </w:rPr>
              <w:t xml:space="preserve"> on 1% raise</w:t>
            </w:r>
          </w:p>
          <w:p w14:paraId="218C50E7" w14:textId="21518DD7" w:rsidR="00B80A7F" w:rsidRDefault="00B80A7F" w:rsidP="001E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DI: send a message to exec, we are concerned that we are on the path to compression and not being competitive internally and </w:t>
            </w:r>
            <w:r w:rsidR="00D54DF4">
              <w:rPr>
                <w:rFonts w:ascii="Times New Roman" w:hAnsi="Times New Roman" w:cs="Times New Roman"/>
              </w:rPr>
              <w:t xml:space="preserve">need to </w:t>
            </w:r>
            <w:r>
              <w:rPr>
                <w:rFonts w:ascii="Times New Roman" w:hAnsi="Times New Roman" w:cs="Times New Roman"/>
              </w:rPr>
              <w:t xml:space="preserve">come up with long term strategies, request data </w:t>
            </w:r>
            <w:r w:rsidR="00AD3A65">
              <w:rPr>
                <w:rFonts w:ascii="Times New Roman" w:hAnsi="Times New Roman" w:cs="Times New Roman"/>
              </w:rPr>
              <w:t>so as to be abl</w:t>
            </w:r>
            <w:r>
              <w:rPr>
                <w:rFonts w:ascii="Times New Roman" w:hAnsi="Times New Roman" w:cs="Times New Roman"/>
              </w:rPr>
              <w:t xml:space="preserve">e to evaluate; </w:t>
            </w:r>
            <w:r w:rsidR="00D54DF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hat’s across the </w:t>
            </w:r>
            <w:r w:rsidR="00AD3A65">
              <w:rPr>
                <w:rFonts w:ascii="Times New Roman" w:hAnsi="Times New Roman" w:cs="Times New Roman"/>
              </w:rPr>
              <w:t xml:space="preserve">board </w:t>
            </w:r>
            <w:r w:rsidR="00D54DF4">
              <w:rPr>
                <w:rFonts w:ascii="Times New Roman" w:hAnsi="Times New Roman" w:cs="Times New Roman"/>
              </w:rPr>
              <w:t xml:space="preserve">strategy </w:t>
            </w:r>
            <w:r w:rsidR="00AD3A65">
              <w:rPr>
                <w:rFonts w:ascii="Times New Roman" w:hAnsi="Times New Roman" w:cs="Times New Roman"/>
              </w:rPr>
              <w:t>over a longer time period?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E57618" w14:textId="423EB0F9" w:rsidR="004268C2" w:rsidRPr="00883D52" w:rsidRDefault="00B76451" w:rsidP="00A0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DI: </w:t>
            </w:r>
            <w:r w:rsidR="00D54DF4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>ble the motion of salary recommendation folding in long term and medium</w:t>
            </w:r>
            <w:r w:rsidR="00B34C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term </w:t>
            </w:r>
            <w:r w:rsidR="00CB68B5">
              <w:rPr>
                <w:rFonts w:ascii="Times New Roman" w:hAnsi="Times New Roman" w:cs="Times New Roman"/>
              </w:rPr>
              <w:t>strategies</w:t>
            </w:r>
            <w:r w:rsidR="00AD3A65">
              <w:rPr>
                <w:rFonts w:ascii="Times New Roman" w:hAnsi="Times New Roman" w:cs="Times New Roman"/>
              </w:rPr>
              <w:t xml:space="preserve">. </w:t>
            </w:r>
            <w:r w:rsidR="00A068E4">
              <w:rPr>
                <w:rFonts w:ascii="Times New Roman" w:hAnsi="Times New Roman" w:cs="Times New Roman"/>
              </w:rPr>
              <w:t xml:space="preserve">Would the report seek </w:t>
            </w:r>
            <w:r w:rsidR="00AD3A65">
              <w:rPr>
                <w:rFonts w:ascii="Times New Roman" w:hAnsi="Times New Roman" w:cs="Times New Roman"/>
              </w:rPr>
              <w:t>out percentage target achieved?</w:t>
            </w:r>
          </w:p>
        </w:tc>
      </w:tr>
      <w:tr w:rsidR="005918E1" w:rsidRPr="00606C27" w14:paraId="4B02E277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33318542" w14:textId="4258362A" w:rsidR="005918E1" w:rsidRDefault="001E0222" w:rsidP="0037110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68E4">
              <w:rPr>
                <w:rFonts w:ascii="Times New Roman" w:hAnsi="Times New Roman" w:cs="Times New Roman"/>
              </w:rPr>
              <w:t>Summer pay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11CA51DC" w14:textId="4BDEB9C3" w:rsidR="005918E1" w:rsidRDefault="00A068E4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D3A65">
              <w:rPr>
                <w:rFonts w:ascii="Times New Roman" w:hAnsi="Times New Roman"/>
              </w:rPr>
              <w:t xml:space="preserve">I: </w:t>
            </w:r>
            <w:r w:rsidR="00D54DF4">
              <w:rPr>
                <w:rFonts w:ascii="Times New Roman" w:hAnsi="Times New Roman"/>
              </w:rPr>
              <w:t xml:space="preserve">How do </w:t>
            </w:r>
            <w:r w:rsidR="00AD3A65">
              <w:rPr>
                <w:rFonts w:ascii="Times New Roman" w:hAnsi="Times New Roman"/>
              </w:rPr>
              <w:t>we get capable teachers</w:t>
            </w:r>
            <w:r w:rsidR="00D54DF4">
              <w:rPr>
                <w:rFonts w:ascii="Times New Roman" w:hAnsi="Times New Roman"/>
              </w:rPr>
              <w:t>?</w:t>
            </w:r>
          </w:p>
          <w:p w14:paraId="1849F1AD" w14:textId="2927459E" w:rsidR="00A068E4" w:rsidRDefault="00A068E4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DI: why don’t we have categories as a sliding scale</w:t>
            </w:r>
            <w:r w:rsidR="00D54DF4">
              <w:rPr>
                <w:rFonts w:ascii="Times New Roman" w:hAnsi="Times New Roman"/>
              </w:rPr>
              <w:t>?</w:t>
            </w:r>
          </w:p>
          <w:p w14:paraId="331302E8" w14:textId="64A510F9" w:rsidR="00A068E4" w:rsidRDefault="00B34CB8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068E4">
              <w:rPr>
                <w:rFonts w:ascii="Times New Roman" w:hAnsi="Times New Roman"/>
              </w:rPr>
              <w:t xml:space="preserve">B: can we do a per student basis? </w:t>
            </w:r>
            <w:r w:rsidR="00A068E4">
              <w:rPr>
                <w:rFonts w:ascii="Times New Roman" w:hAnsi="Times New Roman"/>
              </w:rPr>
              <w:br/>
              <w:t>True compensation standpoint: what is the incremental effort per student</w:t>
            </w:r>
            <w:r w:rsidR="00D54DF4">
              <w:rPr>
                <w:rFonts w:ascii="Times New Roman" w:hAnsi="Times New Roman"/>
              </w:rPr>
              <w:t>?</w:t>
            </w:r>
            <w:r w:rsidR="00A068E4">
              <w:rPr>
                <w:rFonts w:ascii="Times New Roman" w:hAnsi="Times New Roman"/>
              </w:rPr>
              <w:t xml:space="preserve"> teaching/grading tactics change as we have larger groups; need a floor and ceilings</w:t>
            </w:r>
            <w:r w:rsidR="00D54DF4">
              <w:rPr>
                <w:rFonts w:ascii="Times New Roman" w:hAnsi="Times New Roman"/>
              </w:rPr>
              <w:t>.</w:t>
            </w:r>
            <w:r w:rsidR="00A068E4">
              <w:rPr>
                <w:rFonts w:ascii="Times New Roman" w:hAnsi="Times New Roman"/>
              </w:rPr>
              <w:br/>
              <w:t>KB: can we revisit per student basis</w:t>
            </w:r>
            <w:r w:rsidR="00D54DF4">
              <w:rPr>
                <w:rFonts w:ascii="Times New Roman" w:hAnsi="Times New Roman"/>
              </w:rPr>
              <w:t>?</w:t>
            </w:r>
            <w:r w:rsidR="00A068E4">
              <w:rPr>
                <w:rFonts w:ascii="Times New Roman" w:hAnsi="Times New Roman"/>
              </w:rPr>
              <w:t xml:space="preserve"> </w:t>
            </w:r>
            <w:r w:rsidR="00D54DF4">
              <w:rPr>
                <w:rFonts w:ascii="Times New Roman" w:hAnsi="Times New Roman"/>
              </w:rPr>
              <w:t>Asking</w:t>
            </w:r>
            <w:r w:rsidR="00A068E4">
              <w:rPr>
                <w:rFonts w:ascii="Times New Roman" w:hAnsi="Times New Roman"/>
              </w:rPr>
              <w:t xml:space="preserve"> Mark </w:t>
            </w:r>
            <w:r w:rsidR="00D54DF4">
              <w:rPr>
                <w:rFonts w:ascii="Times New Roman" w:hAnsi="Times New Roman"/>
              </w:rPr>
              <w:t xml:space="preserve">if </w:t>
            </w:r>
            <w:r w:rsidR="00A068E4">
              <w:rPr>
                <w:rFonts w:ascii="Times New Roman" w:hAnsi="Times New Roman"/>
              </w:rPr>
              <w:t xml:space="preserve">can get a </w:t>
            </w:r>
            <w:r w:rsidR="00A068E4">
              <w:rPr>
                <w:rFonts w:ascii="Times New Roman" w:hAnsi="Times New Roman"/>
              </w:rPr>
              <w:lastRenderedPageBreak/>
              <w:t>snapshot of last year’s summer budget/course offerings, how many offered at level- A, B, C?</w:t>
            </w:r>
          </w:p>
          <w:p w14:paraId="2051E446" w14:textId="5E5FA51F" w:rsidR="00A068E4" w:rsidRDefault="00A068E4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Dissertation is not considered indep. Study</w:t>
            </w:r>
            <w:r w:rsidR="00D54DF4">
              <w:rPr>
                <w:rFonts w:ascii="Times New Roman" w:hAnsi="Times New Roman"/>
              </w:rPr>
              <w:t>?</w:t>
            </w:r>
          </w:p>
          <w:p w14:paraId="00AF08CE" w14:textId="5641F9F5" w:rsidR="00A068E4" w:rsidRDefault="00A068E4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 be compensated??</w:t>
            </w:r>
          </w:p>
          <w:p w14:paraId="0CE54482" w14:textId="438C2989" w:rsidR="00A068E4" w:rsidRDefault="00B34CB8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068E4">
              <w:rPr>
                <w:rFonts w:ascii="Times New Roman" w:hAnsi="Times New Roman"/>
              </w:rPr>
              <w:t xml:space="preserve">B: </w:t>
            </w:r>
            <w:r w:rsidR="00D54DF4">
              <w:rPr>
                <w:rFonts w:ascii="Times New Roman" w:hAnsi="Times New Roman"/>
              </w:rPr>
              <w:t>D</w:t>
            </w:r>
            <w:r w:rsidR="00A068E4">
              <w:rPr>
                <w:rFonts w:ascii="Times New Roman" w:hAnsi="Times New Roman"/>
              </w:rPr>
              <w:t>o we get paid for indep. Study</w:t>
            </w:r>
            <w:r w:rsidR="00AD3A65">
              <w:rPr>
                <w:rFonts w:ascii="Times New Roman" w:hAnsi="Times New Roman"/>
              </w:rPr>
              <w:t>?</w:t>
            </w:r>
          </w:p>
          <w:p w14:paraId="0DD1F724" w14:textId="06998DBA" w:rsidR="00CB68B5" w:rsidRPr="005918E1" w:rsidRDefault="00A068E4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34CB8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: gather summer pay, consider folding in the 899 hours as part of summer pay recommendation</w:t>
            </w:r>
            <w:r w:rsidR="00CB68B5">
              <w:rPr>
                <w:rFonts w:ascii="Times New Roman" w:hAnsi="Times New Roman"/>
              </w:rPr>
              <w:t>, revisit summer pay (9 vs 10 month)</w:t>
            </w:r>
          </w:p>
        </w:tc>
      </w:tr>
      <w:tr w:rsidR="005918E1" w:rsidRPr="00606C27" w14:paraId="684FED87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0D5F0857" w14:textId="1E8331FB" w:rsidR="005918E1" w:rsidRPr="00883D52" w:rsidRDefault="00A068E4" w:rsidP="0037110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B68B5">
              <w:rPr>
                <w:rFonts w:ascii="Times New Roman" w:hAnsi="Times New Roman" w:cs="Times New Roman"/>
              </w:rPr>
              <w:t xml:space="preserve">Chair report 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11CFB498" w14:textId="7A24EA5E" w:rsidR="005918E1" w:rsidRPr="005918E1" w:rsidRDefault="00CB68B5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 at this point</w:t>
            </w:r>
          </w:p>
        </w:tc>
      </w:tr>
      <w:tr w:rsidR="0037110B" w:rsidRPr="00606C27" w14:paraId="1FE51C58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55C6F1BD" w14:textId="7C35BA3D" w:rsidR="0037110B" w:rsidRPr="005918E1" w:rsidRDefault="00CB68B5" w:rsidP="00A068E4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report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6F7067FE" w14:textId="73BB9FD0" w:rsidR="0037110B" w:rsidRDefault="00CB68B5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 faculty: talked to Spicer’: notes attached</w:t>
            </w:r>
          </w:p>
          <w:p w14:paraId="4C34C7E3" w14:textId="07D57A5F" w:rsidR="00CB68B5" w:rsidRPr="005918E1" w:rsidRDefault="00CB68B5" w:rsidP="00AD3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KB: as voted in meeting1, </w:t>
            </w:r>
            <w:r w:rsidR="00AD3A65">
              <w:rPr>
                <w:rFonts w:ascii="Times New Roman" w:hAnsi="Times New Roman"/>
              </w:rPr>
              <w:t>it’s</w:t>
            </w:r>
            <w:r>
              <w:rPr>
                <w:rFonts w:ascii="Times New Roman" w:hAnsi="Times New Roman"/>
              </w:rPr>
              <w:t xml:space="preserve"> part of out charge to look</w:t>
            </w:r>
            <w:r w:rsidR="00AD3A65">
              <w:rPr>
                <w:rFonts w:ascii="Times New Roman" w:hAnsi="Times New Roman"/>
              </w:rPr>
              <w:t xml:space="preserve"> into temp faculty compensation.</w:t>
            </w:r>
            <w:r>
              <w:rPr>
                <w:rFonts w:ascii="Times New Roman" w:hAnsi="Times New Roman"/>
              </w:rPr>
              <w:t xml:space="preserve"> </w:t>
            </w:r>
            <w:r w:rsidR="00D54DF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an we set aside $1000 for NFO for temp faculties? Any guidelines?</w:t>
            </w:r>
          </w:p>
        </w:tc>
      </w:tr>
      <w:tr w:rsidR="006101F8" w:rsidRPr="00606C27" w14:paraId="2D6CE8D2" w14:textId="77777777" w:rsidTr="00AD3A65">
        <w:tblPrEx>
          <w:shd w:val="clear" w:color="auto" w:fill="auto"/>
        </w:tblPrEx>
        <w:tc>
          <w:tcPr>
            <w:tcW w:w="3258" w:type="dxa"/>
            <w:gridSpan w:val="4"/>
            <w:shd w:val="clear" w:color="auto" w:fill="auto"/>
          </w:tcPr>
          <w:p w14:paraId="2A05E0DA" w14:textId="462C7DE1" w:rsidR="006101F8" w:rsidRDefault="006101F8" w:rsidP="006101F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Adjourned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3E8FCB09" w14:textId="33E6066B" w:rsidR="006101F8" w:rsidRDefault="006101F8" w:rsidP="00591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</w:t>
            </w:r>
          </w:p>
        </w:tc>
      </w:tr>
    </w:tbl>
    <w:p w14:paraId="0417DE8C" w14:textId="46525B1B" w:rsidR="0037110B" w:rsidRDefault="0037110B">
      <w:pPr>
        <w:rPr>
          <w:rFonts w:ascii="Times New Roman" w:hAnsi="Times New Roman"/>
          <w:sz w:val="28"/>
          <w:szCs w:val="28"/>
        </w:rPr>
      </w:pPr>
    </w:p>
    <w:p w14:paraId="22C1438E" w14:textId="77777777" w:rsidR="0037110B" w:rsidRPr="008D5C2C" w:rsidRDefault="0037110B">
      <w:pPr>
        <w:rPr>
          <w:rFonts w:ascii="Times New Roman" w:hAnsi="Times New Roman"/>
          <w:sz w:val="28"/>
          <w:szCs w:val="28"/>
        </w:rPr>
      </w:pPr>
    </w:p>
    <w:sectPr w:rsidR="0037110B" w:rsidRPr="008D5C2C" w:rsidSect="00C82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7D4"/>
    <w:multiLevelType w:val="hybridMultilevel"/>
    <w:tmpl w:val="F8B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EC0"/>
    <w:multiLevelType w:val="hybridMultilevel"/>
    <w:tmpl w:val="FB6E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8"/>
    <w:rsid w:val="001E0222"/>
    <w:rsid w:val="00257298"/>
    <w:rsid w:val="00275CD5"/>
    <w:rsid w:val="0037110B"/>
    <w:rsid w:val="004268C2"/>
    <w:rsid w:val="00441E15"/>
    <w:rsid w:val="00503467"/>
    <w:rsid w:val="00552820"/>
    <w:rsid w:val="005918E1"/>
    <w:rsid w:val="005D56DD"/>
    <w:rsid w:val="006101F8"/>
    <w:rsid w:val="006F73CF"/>
    <w:rsid w:val="00782F36"/>
    <w:rsid w:val="00883D52"/>
    <w:rsid w:val="008D5C2C"/>
    <w:rsid w:val="009D2462"/>
    <w:rsid w:val="00A068E4"/>
    <w:rsid w:val="00AD3A65"/>
    <w:rsid w:val="00B34CB8"/>
    <w:rsid w:val="00B76451"/>
    <w:rsid w:val="00B80A7F"/>
    <w:rsid w:val="00C82BF2"/>
    <w:rsid w:val="00CB68B5"/>
    <w:rsid w:val="00D54DF4"/>
    <w:rsid w:val="00D8409C"/>
    <w:rsid w:val="00DB0CF0"/>
    <w:rsid w:val="00DC3788"/>
    <w:rsid w:val="00F235B8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9AE3"/>
  <w14:defaultImageDpi w14:val="300"/>
  <w15:docId w15:val="{7A8FC985-00F2-B640-BEE4-3359C8AA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C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7110B"/>
    <w:pPr>
      <w:ind w:left="720" w:hanging="36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7110B"/>
    <w:pPr>
      <w:ind w:left="720" w:hanging="36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5E53A-7A0F-4543-9203-DE9BA596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F5115-BE12-491A-9061-9EAEA9B83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04A7-ECA2-475B-A95D-C09FC81B89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baf45800-202a-4d04-9eb1-dcead2d857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Bhowmick</dc:creator>
  <cp:keywords/>
  <dc:description/>
  <cp:lastModifiedBy>Joie Harney</cp:lastModifiedBy>
  <cp:revision>2</cp:revision>
  <dcterms:created xsi:type="dcterms:W3CDTF">2019-11-14T13:10:00Z</dcterms:created>
  <dcterms:modified xsi:type="dcterms:W3CDTF">2019-11-14T13:10:00Z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