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92" w:rsidRPr="00B23A92" w:rsidRDefault="00B23A92" w:rsidP="000B2FA3">
      <w:pPr>
        <w:rPr>
          <w:b/>
          <w:szCs w:val="24"/>
        </w:rPr>
      </w:pPr>
      <w:r>
        <w:rPr>
          <w:b/>
          <w:szCs w:val="24"/>
        </w:rPr>
        <w:t xml:space="preserve">INDICATORS OF TEACHING EFFECTIVENESS </w:t>
      </w:r>
    </w:p>
    <w:p w:rsidR="00210767" w:rsidRDefault="00A32A3C" w:rsidP="000B2FA3">
      <w:pPr>
        <w:rPr>
          <w:szCs w:val="24"/>
          <w:u w:val="single"/>
        </w:rPr>
      </w:pPr>
      <w:r>
        <w:rPr>
          <w:szCs w:val="24"/>
          <w:u w:val="single"/>
        </w:rPr>
        <w:t>State Provided</w:t>
      </w:r>
      <w:r w:rsidR="00DC5B34" w:rsidRPr="00DC5B34">
        <w:rPr>
          <w:szCs w:val="24"/>
          <w:u w:val="single"/>
        </w:rPr>
        <w:t xml:space="preserve"> </w:t>
      </w:r>
      <w:r w:rsidR="000D7A45">
        <w:rPr>
          <w:szCs w:val="24"/>
          <w:u w:val="single"/>
        </w:rPr>
        <w:t xml:space="preserve">Data on Teacher Effectiveness </w:t>
      </w:r>
    </w:p>
    <w:p w:rsidR="00691198" w:rsidRDefault="00210767" w:rsidP="00210767">
      <w:pPr>
        <w:rPr>
          <w:szCs w:val="24"/>
        </w:rPr>
      </w:pPr>
      <w:r>
        <w:rPr>
          <w:szCs w:val="24"/>
        </w:rPr>
        <w:t>Indiana Principals evaluate their teachers on an annual basis.  The Indiana Department of Education (IDOE) provides the EPP with data compiled during the annual teacher evaluations.  Evaluation</w:t>
      </w:r>
      <w:r w:rsidR="000B2FA3" w:rsidRPr="00580B66">
        <w:rPr>
          <w:szCs w:val="24"/>
        </w:rPr>
        <w:t xml:space="preserve"> </w:t>
      </w:r>
      <w:r>
        <w:rPr>
          <w:szCs w:val="24"/>
        </w:rPr>
        <w:t xml:space="preserve">results are provided to the EPP </w:t>
      </w:r>
      <w:r w:rsidR="00691198">
        <w:rPr>
          <w:szCs w:val="24"/>
        </w:rPr>
        <w:t xml:space="preserve">of completers </w:t>
      </w:r>
      <w:r w:rsidR="001D0B55">
        <w:rPr>
          <w:szCs w:val="24"/>
        </w:rPr>
        <w:t xml:space="preserve">within </w:t>
      </w:r>
      <w:r w:rsidR="000B2FA3">
        <w:rPr>
          <w:szCs w:val="24"/>
        </w:rPr>
        <w:t xml:space="preserve">one, two, and three years post completion. </w:t>
      </w:r>
      <w:r w:rsidR="00691198">
        <w:rPr>
          <w:szCs w:val="24"/>
        </w:rPr>
        <w:t xml:space="preserve"> Data is collected by the IDOE and provided to the EPP in early September.  This data can be found at </w:t>
      </w:r>
      <w:hyperlink r:id="rId7" w:history="1">
        <w:r w:rsidR="00691198" w:rsidRPr="000E68F1">
          <w:rPr>
            <w:rStyle w:val="Hyperlink"/>
            <w:szCs w:val="24"/>
          </w:rPr>
          <w:t>https://www.doe.in.gov/evaluations</w:t>
        </w:r>
      </w:hyperlink>
      <w:r w:rsidR="00691198">
        <w:rPr>
          <w:szCs w:val="24"/>
        </w:rPr>
        <w:t>.</w:t>
      </w:r>
    </w:p>
    <w:p w:rsidR="00691198" w:rsidRPr="00691198" w:rsidRDefault="000B2FA3" w:rsidP="00210767">
      <w:pPr>
        <w:rPr>
          <w:szCs w:val="24"/>
        </w:rPr>
      </w:pPr>
      <w:r>
        <w:rPr>
          <w:szCs w:val="24"/>
        </w:rPr>
        <w:t xml:space="preserve">The </w:t>
      </w:r>
      <w:r w:rsidR="00A32A3C">
        <w:rPr>
          <w:szCs w:val="24"/>
        </w:rPr>
        <w:t xml:space="preserve">State </w:t>
      </w:r>
      <w:r w:rsidRPr="00580B66">
        <w:rPr>
          <w:szCs w:val="24"/>
        </w:rPr>
        <w:t>RISE</w:t>
      </w:r>
      <w:r>
        <w:rPr>
          <w:szCs w:val="24"/>
        </w:rPr>
        <w:t xml:space="preserve"> </w:t>
      </w:r>
      <w:r w:rsidR="00A32A3C">
        <w:rPr>
          <w:szCs w:val="24"/>
        </w:rPr>
        <w:t xml:space="preserve">teacher </w:t>
      </w:r>
      <w:r>
        <w:rPr>
          <w:szCs w:val="24"/>
        </w:rPr>
        <w:t>evaluation</w:t>
      </w:r>
      <w:r w:rsidRPr="00580B66">
        <w:rPr>
          <w:szCs w:val="24"/>
        </w:rPr>
        <w:t xml:space="preserve"> </w:t>
      </w:r>
      <w:r w:rsidR="00210767">
        <w:rPr>
          <w:szCs w:val="24"/>
        </w:rPr>
        <w:t xml:space="preserve">is one option school corporations can use to evaluate their teachers.  The RISE evaluation handbook and rubric can be found at </w:t>
      </w:r>
      <w:hyperlink r:id="rId8" w:history="1">
        <w:r w:rsidR="00210767" w:rsidRPr="000E68F1">
          <w:rPr>
            <w:rStyle w:val="Hyperlink"/>
            <w:szCs w:val="24"/>
          </w:rPr>
          <w:t>https://www.doe.in.gov/evaluations</w:t>
        </w:r>
      </w:hyperlink>
      <w:r w:rsidR="00691198">
        <w:rPr>
          <w:rStyle w:val="Hyperlink"/>
          <w:szCs w:val="24"/>
        </w:rPr>
        <w:t xml:space="preserve">. </w:t>
      </w:r>
      <w:r w:rsidR="00691198" w:rsidRPr="00691198">
        <w:rPr>
          <w:rStyle w:val="Hyperlink"/>
          <w:color w:val="auto"/>
          <w:szCs w:val="24"/>
          <w:u w:val="none"/>
        </w:rPr>
        <w:t>The RISE Handbook provides a thorough explanation of how teachers are evaluated</w:t>
      </w:r>
      <w:r w:rsidR="00691198">
        <w:rPr>
          <w:rStyle w:val="Hyperlink"/>
          <w:color w:val="auto"/>
          <w:szCs w:val="24"/>
          <w:u w:val="none"/>
        </w:rPr>
        <w:t>.  Teachers are evaluated according to four domains: Domain 1: Planning, Domain 2: Instruction, Domain 3: Leadership, and Domain 4: Core Professionalism.</w:t>
      </w:r>
    </w:p>
    <w:p w:rsidR="008917EC" w:rsidRDefault="008917EC" w:rsidP="000B2FA3">
      <w:pPr>
        <w:rPr>
          <w:i/>
          <w:sz w:val="20"/>
          <w:szCs w:val="24"/>
        </w:rPr>
      </w:pPr>
    </w:p>
    <w:p w:rsidR="000B2FA3" w:rsidRPr="008917EC" w:rsidRDefault="008917EC" w:rsidP="000B2FA3">
      <w:pPr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** </w:t>
      </w:r>
      <w:r w:rsidRPr="008917EC">
        <w:rPr>
          <w:i/>
          <w:sz w:val="20"/>
          <w:szCs w:val="24"/>
        </w:rPr>
        <w:t>Data for AY2016-2017</w:t>
      </w:r>
      <w:r w:rsidR="00EA6D63" w:rsidRPr="00EA6D63">
        <w:rPr>
          <w:i/>
          <w:sz w:val="20"/>
          <w:szCs w:val="24"/>
        </w:rPr>
        <w:t xml:space="preserve"> </w:t>
      </w:r>
      <w:r w:rsidR="00EA6D63" w:rsidRPr="008917EC">
        <w:rPr>
          <w:i/>
          <w:sz w:val="20"/>
          <w:szCs w:val="24"/>
        </w:rPr>
        <w:t>second year completers</w:t>
      </w:r>
      <w:r w:rsidRPr="008917EC">
        <w:rPr>
          <w:i/>
          <w:sz w:val="20"/>
          <w:szCs w:val="24"/>
        </w:rPr>
        <w:t xml:space="preserve"> was </w:t>
      </w:r>
      <w:r w:rsidR="00EA6D63">
        <w:rPr>
          <w:i/>
          <w:sz w:val="20"/>
          <w:szCs w:val="24"/>
        </w:rPr>
        <w:t>not available on the IDOE website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312"/>
        <w:gridCol w:w="1326"/>
        <w:gridCol w:w="837"/>
        <w:gridCol w:w="1294"/>
        <w:gridCol w:w="1509"/>
        <w:gridCol w:w="1216"/>
        <w:gridCol w:w="1216"/>
        <w:gridCol w:w="1545"/>
      </w:tblGrid>
      <w:tr w:rsidR="000D7A45" w:rsidRPr="00580B66" w:rsidTr="008917EC">
        <w:tc>
          <w:tcPr>
            <w:tcW w:w="1312" w:type="dxa"/>
          </w:tcPr>
          <w:p w:rsidR="000D7A45" w:rsidRPr="00580B66" w:rsidRDefault="000D7A45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  <w:p w:rsidR="000D7A45" w:rsidRPr="00580B66" w:rsidRDefault="000D7A45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1326" w:type="dxa"/>
          </w:tcPr>
          <w:p w:rsidR="000D7A45" w:rsidRPr="00580B66" w:rsidRDefault="000D7A45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TOTAL # of </w:t>
            </w:r>
            <w:r w:rsidR="0032459E">
              <w:rPr>
                <w:rFonts w:ascii="Times New Roman" w:hAnsi="Times New Roman" w:cs="Times New Roman"/>
                <w:sz w:val="24"/>
                <w:szCs w:val="24"/>
              </w:rPr>
              <w:t xml:space="preserve">Surveys </w:t>
            </w:r>
            <w:r w:rsidR="0032459E" w:rsidRPr="00580B66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="003245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37" w:type="dxa"/>
          </w:tcPr>
          <w:p w:rsidR="000D7A45" w:rsidRPr="000D7A45" w:rsidRDefault="000D7A45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45">
              <w:rPr>
                <w:rFonts w:ascii="Times New Roman" w:hAnsi="Times New Roman" w:cs="Times New Roman"/>
                <w:sz w:val="24"/>
                <w:szCs w:val="24"/>
              </w:rPr>
              <w:t>Not Rated</w:t>
            </w:r>
          </w:p>
        </w:tc>
        <w:tc>
          <w:tcPr>
            <w:tcW w:w="1294" w:type="dxa"/>
          </w:tcPr>
          <w:p w:rsidR="000D7A45" w:rsidRPr="00580B66" w:rsidRDefault="000D7A45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Ineffective</w:t>
            </w:r>
          </w:p>
        </w:tc>
        <w:tc>
          <w:tcPr>
            <w:tcW w:w="1509" w:type="dxa"/>
          </w:tcPr>
          <w:p w:rsidR="000D7A45" w:rsidRPr="00580B66" w:rsidRDefault="000D7A45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Improvement </w:t>
            </w:r>
          </w:p>
          <w:p w:rsidR="000D7A45" w:rsidRPr="00580B66" w:rsidRDefault="000D7A45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</w:p>
        </w:tc>
        <w:tc>
          <w:tcPr>
            <w:tcW w:w="1216" w:type="dxa"/>
          </w:tcPr>
          <w:p w:rsidR="000D7A45" w:rsidRPr="00580B66" w:rsidRDefault="000D7A45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</w:tc>
        <w:tc>
          <w:tcPr>
            <w:tcW w:w="1216" w:type="dxa"/>
          </w:tcPr>
          <w:p w:rsidR="000D7A45" w:rsidRPr="00580B66" w:rsidRDefault="000D7A45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Highly </w:t>
            </w:r>
          </w:p>
          <w:p w:rsidR="000D7A45" w:rsidRPr="00580B66" w:rsidRDefault="000D7A45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</w:tc>
        <w:tc>
          <w:tcPr>
            <w:tcW w:w="1545" w:type="dxa"/>
          </w:tcPr>
          <w:p w:rsidR="000D7A45" w:rsidRPr="00580B66" w:rsidRDefault="000D7A45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% Effective &amp; Highly Effective</w:t>
            </w:r>
          </w:p>
        </w:tc>
      </w:tr>
      <w:tr w:rsidR="000D7A45" w:rsidRPr="00580B66" w:rsidTr="008917EC">
        <w:tc>
          <w:tcPr>
            <w:tcW w:w="1312" w:type="dxa"/>
          </w:tcPr>
          <w:p w:rsidR="000D7A45" w:rsidRPr="00580B66" w:rsidRDefault="000D7A45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B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326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7" w:type="dxa"/>
          </w:tcPr>
          <w:p w:rsidR="000D7A45" w:rsidRPr="000D7A45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4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6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5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24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7A45" w:rsidRPr="00580B66" w:rsidTr="008917EC">
        <w:tc>
          <w:tcPr>
            <w:tcW w:w="1312" w:type="dxa"/>
          </w:tcPr>
          <w:p w:rsidR="000D7A45" w:rsidRPr="00580B66" w:rsidRDefault="000D7A45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B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  <w:r w:rsidR="008917EC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326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0D7A45" w:rsidRPr="000D7A45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45" w:rsidRPr="00580B66" w:rsidTr="008917EC">
        <w:tc>
          <w:tcPr>
            <w:tcW w:w="1312" w:type="dxa"/>
          </w:tcPr>
          <w:p w:rsidR="000D7A45" w:rsidRPr="00580B66" w:rsidRDefault="000D7A45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B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326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7" w:type="dxa"/>
          </w:tcPr>
          <w:p w:rsidR="000D7A45" w:rsidRPr="000D7A45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6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5" w:type="dxa"/>
          </w:tcPr>
          <w:p w:rsidR="000D7A45" w:rsidRPr="00580B66" w:rsidRDefault="000D7A45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24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B2FA3" w:rsidRPr="00580B66" w:rsidRDefault="000B2FA3" w:rsidP="000B2FA3">
      <w:pPr>
        <w:rPr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312"/>
        <w:gridCol w:w="1326"/>
        <w:gridCol w:w="837"/>
        <w:gridCol w:w="1294"/>
        <w:gridCol w:w="1509"/>
        <w:gridCol w:w="1216"/>
        <w:gridCol w:w="1216"/>
        <w:gridCol w:w="1545"/>
      </w:tblGrid>
      <w:tr w:rsidR="000D7A45" w:rsidRPr="00580B66" w:rsidTr="008917EC">
        <w:tc>
          <w:tcPr>
            <w:tcW w:w="1312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1326" w:type="dxa"/>
          </w:tcPr>
          <w:p w:rsidR="000D7A45" w:rsidRPr="00580B66" w:rsidRDefault="000D7A45" w:rsidP="0032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TOTAL # of </w:t>
            </w:r>
            <w:r w:rsidR="0032459E">
              <w:rPr>
                <w:rFonts w:ascii="Times New Roman" w:hAnsi="Times New Roman" w:cs="Times New Roman"/>
                <w:sz w:val="24"/>
                <w:szCs w:val="24"/>
              </w:rPr>
              <w:t xml:space="preserve">Surveys </w:t>
            </w: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="003245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37" w:type="dxa"/>
          </w:tcPr>
          <w:p w:rsidR="000D7A45" w:rsidRPr="000D7A45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45">
              <w:rPr>
                <w:rFonts w:ascii="Times New Roman" w:hAnsi="Times New Roman" w:cs="Times New Roman"/>
                <w:sz w:val="24"/>
                <w:szCs w:val="24"/>
              </w:rPr>
              <w:t>Not Rated</w:t>
            </w:r>
          </w:p>
        </w:tc>
        <w:tc>
          <w:tcPr>
            <w:tcW w:w="1294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Ineffective</w:t>
            </w:r>
          </w:p>
        </w:tc>
        <w:tc>
          <w:tcPr>
            <w:tcW w:w="1509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Improvement </w:t>
            </w:r>
          </w:p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</w:p>
        </w:tc>
        <w:tc>
          <w:tcPr>
            <w:tcW w:w="1216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</w:tc>
        <w:tc>
          <w:tcPr>
            <w:tcW w:w="1216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Highly </w:t>
            </w:r>
          </w:p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</w:tc>
        <w:tc>
          <w:tcPr>
            <w:tcW w:w="1545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% Effective &amp; Highly Effective</w:t>
            </w:r>
          </w:p>
        </w:tc>
      </w:tr>
      <w:tr w:rsidR="000D7A45" w:rsidRPr="00580B66" w:rsidTr="008917EC">
        <w:tc>
          <w:tcPr>
            <w:tcW w:w="1312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B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32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7" w:type="dxa"/>
          </w:tcPr>
          <w:p w:rsidR="000D7A45" w:rsidRPr="000D7A45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0D7A45" w:rsidRPr="00580B66" w:rsidRDefault="000D7A45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0D7A45" w:rsidRPr="00580B66" w:rsidRDefault="000D7A45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0D7A45" w:rsidRPr="00580B66" w:rsidRDefault="000D7A45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6" w:type="dxa"/>
          </w:tcPr>
          <w:p w:rsidR="000D7A45" w:rsidRPr="00580B66" w:rsidRDefault="000D7A45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0D7A45" w:rsidRPr="00580B66" w:rsidTr="008917EC">
        <w:tc>
          <w:tcPr>
            <w:tcW w:w="1312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B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32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7" w:type="dxa"/>
          </w:tcPr>
          <w:p w:rsidR="000D7A45" w:rsidRPr="000D7A45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:rsidR="000D7A45" w:rsidRPr="00580B66" w:rsidRDefault="000D7A45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0D7A45" w:rsidRPr="00580B66" w:rsidRDefault="000D7A45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5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0D7A45" w:rsidRPr="00580B66" w:rsidTr="008917EC">
        <w:tc>
          <w:tcPr>
            <w:tcW w:w="1312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B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32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7" w:type="dxa"/>
          </w:tcPr>
          <w:p w:rsidR="000D7A45" w:rsidRPr="000D7A45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4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5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</w:tbl>
    <w:p w:rsidR="000B2FA3" w:rsidRPr="00580B66" w:rsidRDefault="000B2FA3" w:rsidP="000B2FA3">
      <w:pPr>
        <w:rPr>
          <w:szCs w:val="24"/>
        </w:rPr>
      </w:pPr>
      <w:r w:rsidRPr="00580B66">
        <w:rPr>
          <w:szCs w:val="24"/>
        </w:rPr>
        <w:t xml:space="preserve"> 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312"/>
        <w:gridCol w:w="1326"/>
        <w:gridCol w:w="837"/>
        <w:gridCol w:w="1294"/>
        <w:gridCol w:w="1509"/>
        <w:gridCol w:w="1216"/>
        <w:gridCol w:w="1216"/>
        <w:gridCol w:w="1545"/>
      </w:tblGrid>
      <w:tr w:rsidR="000D7A45" w:rsidRPr="00580B66" w:rsidTr="008917EC">
        <w:tc>
          <w:tcPr>
            <w:tcW w:w="1312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1326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TOTAL # of </w:t>
            </w:r>
            <w:r w:rsidR="0032459E">
              <w:rPr>
                <w:rFonts w:ascii="Times New Roman" w:hAnsi="Times New Roman" w:cs="Times New Roman"/>
                <w:sz w:val="24"/>
                <w:szCs w:val="24"/>
              </w:rPr>
              <w:t xml:space="preserve">Surveys </w:t>
            </w:r>
            <w:r w:rsidR="0032459E" w:rsidRPr="00580B66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="003245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37" w:type="dxa"/>
          </w:tcPr>
          <w:p w:rsidR="000D7A45" w:rsidRPr="000D7A45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45">
              <w:rPr>
                <w:rFonts w:ascii="Times New Roman" w:hAnsi="Times New Roman" w:cs="Times New Roman"/>
                <w:sz w:val="24"/>
                <w:szCs w:val="24"/>
              </w:rPr>
              <w:t>Not Rated</w:t>
            </w:r>
          </w:p>
        </w:tc>
        <w:tc>
          <w:tcPr>
            <w:tcW w:w="1294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Ineffective</w:t>
            </w:r>
          </w:p>
        </w:tc>
        <w:tc>
          <w:tcPr>
            <w:tcW w:w="1509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Improvement </w:t>
            </w:r>
          </w:p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</w:p>
        </w:tc>
        <w:tc>
          <w:tcPr>
            <w:tcW w:w="1216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</w:tc>
        <w:tc>
          <w:tcPr>
            <w:tcW w:w="1216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Highly </w:t>
            </w:r>
          </w:p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</w:tc>
        <w:tc>
          <w:tcPr>
            <w:tcW w:w="1545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% Effective &amp; Highly Effective</w:t>
            </w:r>
          </w:p>
        </w:tc>
      </w:tr>
      <w:tr w:rsidR="000D7A45" w:rsidRPr="00580B66" w:rsidTr="008917EC">
        <w:tc>
          <w:tcPr>
            <w:tcW w:w="1312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B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32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37" w:type="dxa"/>
          </w:tcPr>
          <w:p w:rsidR="000D7A45" w:rsidRPr="000D7A45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4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</w:tcPr>
          <w:p w:rsidR="000D7A45" w:rsidRPr="00580B66" w:rsidRDefault="000D7A45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24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7A45" w:rsidRPr="00580B66" w:rsidTr="008917EC">
        <w:tc>
          <w:tcPr>
            <w:tcW w:w="1312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B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32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37" w:type="dxa"/>
          </w:tcPr>
          <w:p w:rsidR="000D7A45" w:rsidRPr="000D7A45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4" w:type="dxa"/>
          </w:tcPr>
          <w:p w:rsidR="000D7A45" w:rsidRPr="00580B66" w:rsidRDefault="000D7A45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1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5" w:type="dxa"/>
          </w:tcPr>
          <w:p w:rsidR="000D7A45" w:rsidRPr="00580B66" w:rsidRDefault="000D7A45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24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7A45" w:rsidRPr="00580B66" w:rsidTr="008917EC">
        <w:tc>
          <w:tcPr>
            <w:tcW w:w="1312" w:type="dxa"/>
          </w:tcPr>
          <w:p w:rsidR="000D7A45" w:rsidRPr="00580B66" w:rsidRDefault="000D7A45" w:rsidP="000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B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32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7" w:type="dxa"/>
          </w:tcPr>
          <w:p w:rsidR="000D7A45" w:rsidRPr="000D7A45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0D7A45" w:rsidRPr="00580B66" w:rsidRDefault="000D7A45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6" w:type="dxa"/>
          </w:tcPr>
          <w:p w:rsidR="000D7A45" w:rsidRPr="00580B66" w:rsidRDefault="0032459E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5" w:type="dxa"/>
          </w:tcPr>
          <w:p w:rsidR="000D7A45" w:rsidRPr="00580B66" w:rsidRDefault="000D7A45" w:rsidP="000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24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9566E" w:rsidRDefault="0059566E"/>
    <w:p w:rsidR="0059566E" w:rsidRDefault="0059566E"/>
    <w:p w:rsidR="000B2FA3" w:rsidRDefault="000B2FA3"/>
    <w:p w:rsidR="0059566E" w:rsidRDefault="0059566E" w:rsidP="0059566E">
      <w:pPr>
        <w:spacing w:line="360" w:lineRule="auto"/>
        <w:rPr>
          <w:szCs w:val="24"/>
        </w:rPr>
      </w:pPr>
    </w:p>
    <w:p w:rsidR="00645A4E" w:rsidRDefault="00645A4E" w:rsidP="0059566E">
      <w:pPr>
        <w:spacing w:line="360" w:lineRule="auto"/>
        <w:rPr>
          <w:szCs w:val="24"/>
        </w:rPr>
      </w:pPr>
    </w:p>
    <w:p w:rsidR="00645A4E" w:rsidRPr="006B4236" w:rsidRDefault="00645A4E" w:rsidP="00645A4E">
      <w:pPr>
        <w:rPr>
          <w:szCs w:val="24"/>
        </w:rPr>
      </w:pPr>
      <w:bookmarkStart w:id="0" w:name="_GoBack"/>
      <w:bookmarkEnd w:id="0"/>
      <w:r w:rsidRPr="006B4236">
        <w:rPr>
          <w:szCs w:val="24"/>
          <w:u w:val="single"/>
        </w:rPr>
        <w:lastRenderedPageBreak/>
        <w:t xml:space="preserve">Open-ended Question from </w:t>
      </w:r>
      <w:r>
        <w:rPr>
          <w:szCs w:val="24"/>
          <w:u w:val="single"/>
        </w:rPr>
        <w:t xml:space="preserve">the EPP Created </w:t>
      </w:r>
      <w:r w:rsidRPr="006B4236">
        <w:rPr>
          <w:szCs w:val="24"/>
          <w:u w:val="single"/>
        </w:rPr>
        <w:t>Completer</w:t>
      </w:r>
      <w:r>
        <w:rPr>
          <w:szCs w:val="24"/>
          <w:u w:val="single"/>
        </w:rPr>
        <w:t xml:space="preserve"> Satisfaction</w:t>
      </w:r>
      <w:r w:rsidRPr="006B4236">
        <w:rPr>
          <w:szCs w:val="24"/>
          <w:u w:val="single"/>
        </w:rPr>
        <w:t xml:space="preserve"> Survey</w:t>
      </w:r>
      <w:r w:rsidRPr="006B4236">
        <w:rPr>
          <w:szCs w:val="24"/>
        </w:rPr>
        <w:t xml:space="preserve">: </w:t>
      </w:r>
    </w:p>
    <w:p w:rsidR="00645A4E" w:rsidRPr="006B4236" w:rsidRDefault="00645A4E" w:rsidP="00645A4E">
      <w:pPr>
        <w:rPr>
          <w:szCs w:val="24"/>
        </w:rPr>
      </w:pPr>
      <w:r w:rsidRPr="006B4236">
        <w:rPr>
          <w:szCs w:val="24"/>
        </w:rPr>
        <w:t xml:space="preserve">“How do you know you are an effective teacher?” </w:t>
      </w:r>
    </w:p>
    <w:p w:rsidR="00645A4E" w:rsidRPr="006B4236" w:rsidRDefault="00645A4E" w:rsidP="00645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236">
        <w:rPr>
          <w:rFonts w:ascii="Times New Roman" w:hAnsi="Times New Roman" w:cs="Times New Roman"/>
          <w:sz w:val="24"/>
          <w:szCs w:val="24"/>
        </w:rPr>
        <w:t>Teaching evaluations</w:t>
      </w:r>
    </w:p>
    <w:p w:rsidR="00645A4E" w:rsidRPr="006B4236" w:rsidRDefault="00645A4E" w:rsidP="00645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236">
        <w:rPr>
          <w:rFonts w:ascii="Times New Roman" w:hAnsi="Times New Roman" w:cs="Times New Roman"/>
          <w:sz w:val="24"/>
          <w:szCs w:val="24"/>
        </w:rPr>
        <w:t>Positive attitudes to learn</w:t>
      </w:r>
    </w:p>
    <w:p w:rsidR="00645A4E" w:rsidRPr="006B4236" w:rsidRDefault="00645A4E" w:rsidP="00645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236">
        <w:rPr>
          <w:rFonts w:ascii="Times New Roman" w:hAnsi="Times New Roman" w:cs="Times New Roman"/>
          <w:sz w:val="24"/>
          <w:szCs w:val="24"/>
        </w:rPr>
        <w:t>Student/teacher connections</w:t>
      </w:r>
    </w:p>
    <w:p w:rsidR="00645A4E" w:rsidRPr="006B4236" w:rsidRDefault="00645A4E" w:rsidP="00645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236">
        <w:rPr>
          <w:rFonts w:ascii="Times New Roman" w:hAnsi="Times New Roman" w:cs="Times New Roman"/>
          <w:sz w:val="24"/>
          <w:szCs w:val="24"/>
        </w:rPr>
        <w:t>Increased confidence</w:t>
      </w:r>
    </w:p>
    <w:p w:rsidR="00645A4E" w:rsidRPr="006B4236" w:rsidRDefault="00645A4E" w:rsidP="00645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236">
        <w:rPr>
          <w:rFonts w:ascii="Times New Roman" w:hAnsi="Times New Roman" w:cs="Times New Roman"/>
          <w:sz w:val="24"/>
          <w:szCs w:val="24"/>
        </w:rPr>
        <w:t>Excitement and passion for learning</w:t>
      </w:r>
    </w:p>
    <w:p w:rsidR="00645A4E" w:rsidRPr="006B4236" w:rsidRDefault="00645A4E" w:rsidP="00645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236">
        <w:rPr>
          <w:rFonts w:ascii="Times New Roman" w:hAnsi="Times New Roman" w:cs="Times New Roman"/>
          <w:sz w:val="24"/>
          <w:szCs w:val="24"/>
        </w:rPr>
        <w:t>Student work, evidence of growing knowledge</w:t>
      </w:r>
    </w:p>
    <w:p w:rsidR="00645A4E" w:rsidRDefault="00645A4E" w:rsidP="00645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236">
        <w:rPr>
          <w:rFonts w:ascii="Times New Roman" w:hAnsi="Times New Roman" w:cs="Times New Roman"/>
          <w:sz w:val="24"/>
          <w:szCs w:val="24"/>
        </w:rPr>
        <w:t xml:space="preserve">Student and parent feedback </w:t>
      </w:r>
    </w:p>
    <w:p w:rsidR="00645A4E" w:rsidRDefault="00645A4E" w:rsidP="00645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results</w:t>
      </w:r>
    </w:p>
    <w:p w:rsidR="00645A4E" w:rsidRDefault="00645A4E" w:rsidP="00645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feedback</w:t>
      </w:r>
    </w:p>
    <w:p w:rsidR="00645A4E" w:rsidRDefault="00645A4E" w:rsidP="00645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 of students</w:t>
      </w:r>
    </w:p>
    <w:p w:rsidR="00645A4E" w:rsidRDefault="00645A4E" w:rsidP="0059566E">
      <w:pPr>
        <w:spacing w:line="360" w:lineRule="auto"/>
        <w:rPr>
          <w:szCs w:val="24"/>
        </w:rPr>
      </w:pPr>
    </w:p>
    <w:p w:rsidR="0059566E" w:rsidRDefault="0059566E"/>
    <w:sectPr w:rsidR="0059566E" w:rsidSect="0059566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F5" w:rsidRDefault="00E018F5" w:rsidP="000B2FA3">
      <w:pPr>
        <w:spacing w:after="0" w:line="240" w:lineRule="auto"/>
      </w:pPr>
      <w:r>
        <w:separator/>
      </w:r>
    </w:p>
  </w:endnote>
  <w:endnote w:type="continuationSeparator" w:id="0">
    <w:p w:rsidR="00E018F5" w:rsidRDefault="00E018F5" w:rsidP="000B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F5" w:rsidRDefault="00E018F5" w:rsidP="000B2FA3">
      <w:pPr>
        <w:spacing w:after="0" w:line="240" w:lineRule="auto"/>
      </w:pPr>
      <w:r>
        <w:separator/>
      </w:r>
    </w:p>
  </w:footnote>
  <w:footnote w:type="continuationSeparator" w:id="0">
    <w:p w:rsidR="00E018F5" w:rsidRDefault="00E018F5" w:rsidP="000B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4E65"/>
    <w:multiLevelType w:val="hybridMultilevel"/>
    <w:tmpl w:val="9354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6E"/>
    <w:rsid w:val="00024505"/>
    <w:rsid w:val="00036780"/>
    <w:rsid w:val="000B2FA3"/>
    <w:rsid w:val="000D7A45"/>
    <w:rsid w:val="001D0B55"/>
    <w:rsid w:val="001F548D"/>
    <w:rsid w:val="00210767"/>
    <w:rsid w:val="0032459E"/>
    <w:rsid w:val="0038296D"/>
    <w:rsid w:val="0059566E"/>
    <w:rsid w:val="00645A4E"/>
    <w:rsid w:val="00691198"/>
    <w:rsid w:val="007C2F8B"/>
    <w:rsid w:val="008917EC"/>
    <w:rsid w:val="008C58CE"/>
    <w:rsid w:val="00A32A3C"/>
    <w:rsid w:val="00A834A3"/>
    <w:rsid w:val="00B155F1"/>
    <w:rsid w:val="00B23A92"/>
    <w:rsid w:val="00C00743"/>
    <w:rsid w:val="00C8194C"/>
    <w:rsid w:val="00CD1E9C"/>
    <w:rsid w:val="00DC5B34"/>
    <w:rsid w:val="00E018F5"/>
    <w:rsid w:val="00EA6D63"/>
    <w:rsid w:val="00F7103A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FE0C"/>
  <w15:chartTrackingRefBased/>
  <w15:docId w15:val="{D2711C8A-C954-487F-9ABD-CBDA9C5D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66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FA3"/>
  </w:style>
  <w:style w:type="paragraph" w:styleId="Footer">
    <w:name w:val="footer"/>
    <w:basedOn w:val="Normal"/>
    <w:link w:val="FooterChar"/>
    <w:uiPriority w:val="99"/>
    <w:unhideWhenUsed/>
    <w:rsid w:val="000B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FA3"/>
  </w:style>
  <w:style w:type="paragraph" w:styleId="BalloonText">
    <w:name w:val="Balloon Text"/>
    <w:basedOn w:val="Normal"/>
    <w:link w:val="BalloonTextChar"/>
    <w:uiPriority w:val="99"/>
    <w:semiHidden/>
    <w:unhideWhenUsed/>
    <w:rsid w:val="0003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A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A4E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in.gov/evalu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e.in.gov/evalu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Malea Crosby</dc:creator>
  <cp:keywords/>
  <dc:description/>
  <cp:lastModifiedBy>Malea Crosby</cp:lastModifiedBy>
  <cp:revision>9</cp:revision>
  <cp:lastPrinted>2019-01-08T18:04:00Z</cp:lastPrinted>
  <dcterms:created xsi:type="dcterms:W3CDTF">2019-02-19T14:44:00Z</dcterms:created>
  <dcterms:modified xsi:type="dcterms:W3CDTF">2019-03-07T18:05:00Z</dcterms:modified>
</cp:coreProperties>
</file>