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98" w:rsidRPr="003E5C4C" w:rsidRDefault="00010C98" w:rsidP="003E5C4C">
      <w:pPr>
        <w:pStyle w:val="NoSpacing"/>
        <w:jc w:val="center"/>
        <w:rPr>
          <w:rStyle w:val="Strong"/>
          <w:rFonts w:asciiTheme="majorBidi" w:hAnsiTheme="majorBidi" w:cstheme="majorBidi"/>
          <w:color w:val="000000" w:themeColor="text1"/>
          <w:sz w:val="40"/>
          <w:szCs w:val="36"/>
        </w:rPr>
      </w:pPr>
      <w:bookmarkStart w:id="0" w:name="_GoBack"/>
      <w:bookmarkEnd w:id="0"/>
      <w:r w:rsidRPr="003E5C4C">
        <w:rPr>
          <w:rStyle w:val="Strong"/>
          <w:rFonts w:asciiTheme="majorBidi" w:hAnsiTheme="majorBidi" w:cstheme="majorBidi"/>
          <w:color w:val="000000" w:themeColor="text1"/>
          <w:sz w:val="40"/>
          <w:szCs w:val="36"/>
        </w:rPr>
        <w:t>Indiana State University Staffing Report</w:t>
      </w:r>
    </w:p>
    <w:p w:rsidR="00010C98" w:rsidRPr="003E5C4C" w:rsidRDefault="00010C98" w:rsidP="003E5C4C">
      <w:pPr>
        <w:pStyle w:val="NoSpacing"/>
        <w:jc w:val="center"/>
        <w:rPr>
          <w:rStyle w:val="Strong"/>
          <w:rFonts w:asciiTheme="majorBidi" w:hAnsiTheme="majorBidi" w:cstheme="majorBidi"/>
          <w:color w:val="000000" w:themeColor="text1"/>
          <w:sz w:val="40"/>
          <w:szCs w:val="36"/>
        </w:rPr>
      </w:pPr>
      <w:r w:rsidRPr="003E5C4C">
        <w:rPr>
          <w:rStyle w:val="Strong"/>
          <w:rFonts w:asciiTheme="majorBidi" w:hAnsiTheme="majorBidi" w:cstheme="majorBidi"/>
          <w:color w:val="000000" w:themeColor="text1"/>
          <w:sz w:val="40"/>
          <w:szCs w:val="36"/>
        </w:rPr>
        <w:t>AY 2016-17</w:t>
      </w:r>
    </w:p>
    <w:p w:rsidR="00304AE3" w:rsidRDefault="00304AE3" w:rsidP="003E5C4C">
      <w:pPr>
        <w:pStyle w:val="NoSpacing"/>
        <w:jc w:val="center"/>
        <w:rPr>
          <w:rStyle w:val="Strong"/>
          <w:rFonts w:asciiTheme="majorBidi" w:hAnsiTheme="majorBidi" w:cstheme="majorBidi"/>
          <w:color w:val="000000" w:themeColor="text1"/>
          <w:sz w:val="40"/>
          <w:szCs w:val="36"/>
        </w:rPr>
      </w:pPr>
    </w:p>
    <w:p w:rsidR="00304AE3" w:rsidRDefault="00304AE3" w:rsidP="003E5C4C">
      <w:pPr>
        <w:pStyle w:val="NoSpacing"/>
        <w:jc w:val="center"/>
        <w:rPr>
          <w:rStyle w:val="Strong"/>
          <w:rFonts w:asciiTheme="majorBidi" w:hAnsiTheme="majorBidi" w:cstheme="majorBidi"/>
          <w:color w:val="000000" w:themeColor="text1"/>
          <w:sz w:val="40"/>
          <w:szCs w:val="36"/>
        </w:rPr>
      </w:pPr>
      <w:r>
        <w:rPr>
          <w:rStyle w:val="Strong"/>
          <w:rFonts w:asciiTheme="majorBidi" w:hAnsiTheme="majorBidi" w:cstheme="majorBidi"/>
          <w:color w:val="000000" w:themeColor="text1"/>
          <w:sz w:val="40"/>
          <w:szCs w:val="36"/>
        </w:rPr>
        <w:t>Submitted by:</w:t>
      </w:r>
    </w:p>
    <w:p w:rsidR="00010C98" w:rsidRDefault="00010C98" w:rsidP="003E5C4C">
      <w:pPr>
        <w:pStyle w:val="NoSpacing"/>
        <w:jc w:val="center"/>
        <w:rPr>
          <w:rStyle w:val="Strong"/>
          <w:rFonts w:asciiTheme="majorBidi" w:hAnsiTheme="majorBidi" w:cstheme="majorBidi"/>
          <w:color w:val="000000" w:themeColor="text1"/>
          <w:sz w:val="40"/>
          <w:szCs w:val="36"/>
        </w:rPr>
      </w:pPr>
      <w:r w:rsidRPr="003E5C4C">
        <w:rPr>
          <w:rStyle w:val="Strong"/>
          <w:rFonts w:asciiTheme="majorBidi" w:hAnsiTheme="majorBidi" w:cstheme="majorBidi"/>
          <w:color w:val="000000" w:themeColor="text1"/>
          <w:sz w:val="40"/>
          <w:szCs w:val="36"/>
        </w:rPr>
        <w:t>Administrative Affairs Committee</w:t>
      </w:r>
    </w:p>
    <w:p w:rsidR="00304AE3" w:rsidRPr="003E5C4C" w:rsidRDefault="00304AE3" w:rsidP="003E5C4C">
      <w:pPr>
        <w:pStyle w:val="NoSpacing"/>
        <w:jc w:val="center"/>
        <w:rPr>
          <w:rStyle w:val="Strong"/>
          <w:rFonts w:asciiTheme="majorBidi" w:hAnsiTheme="majorBidi" w:cstheme="majorBidi"/>
          <w:color w:val="000000" w:themeColor="text1"/>
          <w:sz w:val="40"/>
          <w:szCs w:val="36"/>
        </w:rPr>
      </w:pPr>
    </w:p>
    <w:p w:rsidR="00145C9A" w:rsidRPr="003E5C4C" w:rsidRDefault="00DF427A" w:rsidP="006265BC">
      <w:pPr>
        <w:pStyle w:val="NormalWeb"/>
        <w:jc w:val="both"/>
        <w:rPr>
          <w:rFonts w:asciiTheme="majorBidi" w:hAnsiTheme="majorBidi" w:cstheme="majorBidi"/>
          <w:color w:val="000000" w:themeColor="text1"/>
          <w:sz w:val="32"/>
        </w:rPr>
      </w:pPr>
      <w:r w:rsidRPr="003E5C4C">
        <w:rPr>
          <w:rFonts w:asciiTheme="majorBidi" w:hAnsiTheme="majorBidi" w:cstheme="majorBidi"/>
          <w:color w:val="000000" w:themeColor="text1"/>
          <w:sz w:val="32"/>
        </w:rPr>
        <w:t xml:space="preserve">This latest </w:t>
      </w:r>
      <w:r w:rsidR="00784C01" w:rsidRPr="003E5C4C">
        <w:rPr>
          <w:rFonts w:asciiTheme="majorBidi" w:hAnsiTheme="majorBidi" w:cstheme="majorBidi"/>
          <w:color w:val="000000" w:themeColor="text1"/>
          <w:sz w:val="32"/>
        </w:rPr>
        <w:t xml:space="preserve">review of the staffing trends for faculty and administrative positions has revealed some startling developments.  </w:t>
      </w:r>
      <w:r w:rsidR="003207D9" w:rsidRPr="003E5C4C">
        <w:rPr>
          <w:rFonts w:asciiTheme="majorBidi" w:hAnsiTheme="majorBidi" w:cstheme="majorBidi"/>
          <w:color w:val="000000" w:themeColor="text1"/>
          <w:sz w:val="32"/>
        </w:rPr>
        <w:t xml:space="preserve">The </w:t>
      </w:r>
      <w:r w:rsidR="00784C01" w:rsidRPr="003E5C4C">
        <w:rPr>
          <w:rFonts w:asciiTheme="majorBidi" w:hAnsiTheme="majorBidi" w:cstheme="majorBidi"/>
          <w:color w:val="000000" w:themeColor="text1"/>
          <w:sz w:val="32"/>
        </w:rPr>
        <w:t xml:space="preserve">committee reviewed data from the past ten years, with an emphasis on changes from 2015 to 2016 to </w:t>
      </w:r>
      <w:r w:rsidR="003207D9" w:rsidRPr="003E5C4C">
        <w:rPr>
          <w:rFonts w:asciiTheme="majorBidi" w:hAnsiTheme="majorBidi" w:cstheme="majorBidi"/>
          <w:color w:val="000000" w:themeColor="text1"/>
          <w:sz w:val="32"/>
        </w:rPr>
        <w:t xml:space="preserve">both </w:t>
      </w:r>
      <w:r w:rsidR="00784C01" w:rsidRPr="003E5C4C">
        <w:rPr>
          <w:rFonts w:asciiTheme="majorBidi" w:hAnsiTheme="majorBidi" w:cstheme="majorBidi"/>
          <w:color w:val="000000" w:themeColor="text1"/>
          <w:sz w:val="32"/>
        </w:rPr>
        <w:t xml:space="preserve">draw out long-term and </w:t>
      </w:r>
      <w:r w:rsidR="003207D9" w:rsidRPr="003E5C4C">
        <w:rPr>
          <w:rFonts w:asciiTheme="majorBidi" w:hAnsiTheme="majorBidi" w:cstheme="majorBidi"/>
          <w:color w:val="000000" w:themeColor="text1"/>
          <w:sz w:val="32"/>
        </w:rPr>
        <w:t xml:space="preserve">highlight </w:t>
      </w:r>
      <w:r w:rsidR="00784C01" w:rsidRPr="003E5C4C">
        <w:rPr>
          <w:rFonts w:asciiTheme="majorBidi" w:hAnsiTheme="majorBidi" w:cstheme="majorBidi"/>
          <w:color w:val="000000" w:themeColor="text1"/>
          <w:sz w:val="32"/>
        </w:rPr>
        <w:t>more immediate trends.  The data show an u</w:t>
      </w:r>
      <w:r w:rsidR="007E0D2A" w:rsidRPr="003E5C4C">
        <w:rPr>
          <w:rFonts w:asciiTheme="majorBidi" w:hAnsiTheme="majorBidi" w:cstheme="majorBidi"/>
          <w:color w:val="000000" w:themeColor="text1"/>
          <w:sz w:val="32"/>
        </w:rPr>
        <w:t xml:space="preserve">nexpected </w:t>
      </w:r>
      <w:r w:rsidR="003207D9" w:rsidRPr="003E5C4C">
        <w:rPr>
          <w:rFonts w:asciiTheme="majorBidi" w:hAnsiTheme="majorBidi" w:cstheme="majorBidi"/>
          <w:color w:val="000000" w:themeColor="text1"/>
          <w:sz w:val="32"/>
        </w:rPr>
        <w:t xml:space="preserve">and disturbing </w:t>
      </w:r>
      <w:r w:rsidR="00784C01" w:rsidRPr="003E5C4C">
        <w:rPr>
          <w:rFonts w:asciiTheme="majorBidi" w:hAnsiTheme="majorBidi" w:cstheme="majorBidi"/>
          <w:color w:val="000000" w:themeColor="text1"/>
          <w:sz w:val="32"/>
        </w:rPr>
        <w:t>spike in</w:t>
      </w:r>
      <w:r w:rsidR="00145C9A" w:rsidRPr="003E5C4C">
        <w:rPr>
          <w:rFonts w:asciiTheme="majorBidi" w:hAnsiTheme="majorBidi" w:cstheme="majorBidi"/>
          <w:color w:val="000000" w:themeColor="text1"/>
          <w:sz w:val="32"/>
        </w:rPr>
        <w:t xml:space="preserve"> </w:t>
      </w:r>
      <w:r w:rsidR="00784C01" w:rsidRPr="003E5C4C">
        <w:rPr>
          <w:rFonts w:asciiTheme="majorBidi" w:hAnsiTheme="majorBidi" w:cstheme="majorBidi"/>
          <w:color w:val="000000" w:themeColor="text1"/>
          <w:sz w:val="32"/>
        </w:rPr>
        <w:t>executive and administrative</w:t>
      </w:r>
      <w:r w:rsidR="00145C9A" w:rsidRPr="003E5C4C">
        <w:rPr>
          <w:rFonts w:asciiTheme="majorBidi" w:hAnsiTheme="majorBidi" w:cstheme="majorBidi"/>
          <w:color w:val="000000" w:themeColor="text1"/>
          <w:sz w:val="32"/>
        </w:rPr>
        <w:t xml:space="preserve"> hiring, both in terms of </w:t>
      </w:r>
      <w:r w:rsidR="00784C01" w:rsidRPr="003E5C4C">
        <w:rPr>
          <w:rFonts w:asciiTheme="majorBidi" w:hAnsiTheme="majorBidi" w:cstheme="majorBidi"/>
          <w:color w:val="000000" w:themeColor="text1"/>
          <w:sz w:val="32"/>
        </w:rPr>
        <w:t xml:space="preserve">the </w:t>
      </w:r>
      <w:r w:rsidR="00145C9A" w:rsidRPr="003E5C4C">
        <w:rPr>
          <w:rFonts w:asciiTheme="majorBidi" w:hAnsiTheme="majorBidi" w:cstheme="majorBidi"/>
          <w:color w:val="000000" w:themeColor="text1"/>
          <w:sz w:val="32"/>
        </w:rPr>
        <w:t>numb</w:t>
      </w:r>
      <w:r w:rsidR="00784C01" w:rsidRPr="003E5C4C">
        <w:rPr>
          <w:rFonts w:asciiTheme="majorBidi" w:hAnsiTheme="majorBidi" w:cstheme="majorBidi"/>
          <w:color w:val="000000" w:themeColor="text1"/>
          <w:sz w:val="32"/>
        </w:rPr>
        <w:t>er of positions</w:t>
      </w:r>
      <w:r w:rsidR="008F6E90" w:rsidRPr="003E5C4C">
        <w:rPr>
          <w:rFonts w:asciiTheme="majorBidi" w:hAnsiTheme="majorBidi" w:cstheme="majorBidi"/>
          <w:color w:val="000000" w:themeColor="text1"/>
          <w:sz w:val="32"/>
        </w:rPr>
        <w:t xml:space="preserve"> and </w:t>
      </w:r>
      <w:r w:rsidR="00784C01" w:rsidRPr="003E5C4C">
        <w:rPr>
          <w:rFonts w:asciiTheme="majorBidi" w:hAnsiTheme="majorBidi" w:cstheme="majorBidi"/>
          <w:color w:val="000000" w:themeColor="text1"/>
          <w:sz w:val="32"/>
        </w:rPr>
        <w:t xml:space="preserve">the amount of compensation.  This increase in executive and administrative hiring and compensation stands in stark contrast to faculty hiring patterns.  The 2016 data show a 3% decrease in </w:t>
      </w:r>
      <w:r w:rsidR="006265BC" w:rsidRPr="003E5C4C">
        <w:rPr>
          <w:rFonts w:asciiTheme="majorBidi" w:hAnsiTheme="majorBidi" w:cstheme="majorBidi"/>
          <w:color w:val="000000" w:themeColor="text1"/>
          <w:sz w:val="32"/>
        </w:rPr>
        <w:t xml:space="preserve">total </w:t>
      </w:r>
      <w:r w:rsidR="00784C01" w:rsidRPr="003E5C4C">
        <w:rPr>
          <w:rFonts w:asciiTheme="majorBidi" w:hAnsiTheme="majorBidi" w:cstheme="majorBidi"/>
          <w:color w:val="000000" w:themeColor="text1"/>
          <w:sz w:val="32"/>
        </w:rPr>
        <w:t>F</w:t>
      </w:r>
      <w:r w:rsidR="00304AE3">
        <w:rPr>
          <w:rFonts w:asciiTheme="majorBidi" w:hAnsiTheme="majorBidi" w:cstheme="majorBidi"/>
          <w:color w:val="000000" w:themeColor="text1"/>
          <w:sz w:val="32"/>
        </w:rPr>
        <w:t xml:space="preserve">ull </w:t>
      </w:r>
      <w:r w:rsidR="00784C01" w:rsidRPr="003E5C4C">
        <w:rPr>
          <w:rFonts w:asciiTheme="majorBidi" w:hAnsiTheme="majorBidi" w:cstheme="majorBidi"/>
          <w:color w:val="000000" w:themeColor="text1"/>
          <w:sz w:val="32"/>
        </w:rPr>
        <w:t>T</w:t>
      </w:r>
      <w:r w:rsidR="00304AE3">
        <w:rPr>
          <w:rFonts w:asciiTheme="majorBidi" w:hAnsiTheme="majorBidi" w:cstheme="majorBidi"/>
          <w:color w:val="000000" w:themeColor="text1"/>
          <w:sz w:val="32"/>
        </w:rPr>
        <w:t xml:space="preserve">ime </w:t>
      </w:r>
      <w:r w:rsidR="00304AE3" w:rsidRPr="0097536F">
        <w:rPr>
          <w:rFonts w:asciiTheme="majorBidi" w:hAnsiTheme="majorBidi" w:cstheme="majorBidi"/>
          <w:color w:val="000000" w:themeColor="text1"/>
          <w:sz w:val="32"/>
        </w:rPr>
        <w:t>E</w:t>
      </w:r>
      <w:r w:rsidR="00304AE3">
        <w:rPr>
          <w:rFonts w:asciiTheme="majorBidi" w:hAnsiTheme="majorBidi" w:cstheme="majorBidi"/>
          <w:color w:val="000000" w:themeColor="text1"/>
          <w:sz w:val="32"/>
        </w:rPr>
        <w:t>quivalent (FTE)</w:t>
      </w:r>
      <w:r w:rsidR="00784C01" w:rsidRPr="003E5C4C">
        <w:rPr>
          <w:rFonts w:asciiTheme="majorBidi" w:hAnsiTheme="majorBidi" w:cstheme="majorBidi"/>
          <w:color w:val="000000" w:themeColor="text1"/>
          <w:sz w:val="32"/>
        </w:rPr>
        <w:t>, and a 2% decrease in tenure-track FTE</w:t>
      </w:r>
      <w:r w:rsidR="006265BC" w:rsidRPr="003E5C4C">
        <w:rPr>
          <w:rFonts w:asciiTheme="majorBidi" w:hAnsiTheme="majorBidi" w:cstheme="majorBidi"/>
          <w:color w:val="000000" w:themeColor="text1"/>
          <w:sz w:val="32"/>
        </w:rPr>
        <w:t xml:space="preserve"> in particular</w:t>
      </w:r>
      <w:r w:rsidR="00784C01" w:rsidRPr="003E5C4C">
        <w:rPr>
          <w:rFonts w:asciiTheme="majorBidi" w:hAnsiTheme="majorBidi" w:cstheme="majorBidi"/>
          <w:color w:val="000000" w:themeColor="text1"/>
          <w:sz w:val="32"/>
        </w:rPr>
        <w:t xml:space="preserve">.  </w:t>
      </w:r>
      <w:r w:rsidR="006265BC" w:rsidRPr="003E5C4C">
        <w:rPr>
          <w:rFonts w:asciiTheme="majorBidi" w:hAnsiTheme="majorBidi" w:cstheme="majorBidi"/>
          <w:color w:val="000000" w:themeColor="text1"/>
          <w:sz w:val="32"/>
        </w:rPr>
        <w:t xml:space="preserve">The distribution of Student Credit Hours (SCH) stands at </w:t>
      </w:r>
      <w:r w:rsidR="006265BC" w:rsidRPr="003E5C4C">
        <w:rPr>
          <w:rFonts w:asciiTheme="majorBidi" w:hAnsiTheme="majorBidi" w:cstheme="majorBidi"/>
          <w:b/>
          <w:bCs/>
          <w:color w:val="000000" w:themeColor="text1"/>
          <w:sz w:val="32"/>
        </w:rPr>
        <w:t>47/25/28</w:t>
      </w:r>
      <w:r w:rsidR="00653541">
        <w:rPr>
          <w:rStyle w:val="FootnoteReference"/>
          <w:rFonts w:asciiTheme="majorBidi" w:hAnsiTheme="majorBidi" w:cstheme="majorBidi"/>
          <w:b/>
          <w:bCs/>
          <w:color w:val="000000" w:themeColor="text1"/>
          <w:sz w:val="32"/>
        </w:rPr>
        <w:footnoteReference w:id="1"/>
      </w:r>
      <w:r w:rsidR="006265BC" w:rsidRPr="003E5C4C">
        <w:rPr>
          <w:rFonts w:asciiTheme="majorBidi" w:hAnsiTheme="majorBidi" w:cstheme="majorBidi"/>
          <w:color w:val="000000" w:themeColor="text1"/>
          <w:sz w:val="32"/>
        </w:rPr>
        <w:t xml:space="preserve">, </w:t>
      </w:r>
      <w:r w:rsidRPr="003E5C4C">
        <w:rPr>
          <w:rFonts w:asciiTheme="majorBidi" w:hAnsiTheme="majorBidi" w:cstheme="majorBidi"/>
          <w:color w:val="000000" w:themeColor="text1"/>
          <w:sz w:val="32"/>
        </w:rPr>
        <w:t xml:space="preserve">which not only falls well short of the 70/15/15 target established by the president. It means </w:t>
      </w:r>
      <w:r w:rsidR="006265BC" w:rsidRPr="003E5C4C">
        <w:rPr>
          <w:rFonts w:asciiTheme="majorBidi" w:hAnsiTheme="majorBidi" w:cstheme="majorBidi"/>
          <w:color w:val="000000" w:themeColor="text1"/>
          <w:sz w:val="32"/>
        </w:rPr>
        <w:t xml:space="preserve">that more than half of student credit hours are being generated by non-tenure track faculty.  </w:t>
      </w:r>
      <w:r w:rsidRPr="003E5C4C">
        <w:rPr>
          <w:rFonts w:asciiTheme="majorBidi" w:hAnsiTheme="majorBidi" w:cstheme="majorBidi"/>
          <w:color w:val="000000" w:themeColor="text1"/>
          <w:sz w:val="32"/>
        </w:rPr>
        <w:t>In addition, this ratio</w:t>
      </w:r>
      <w:r w:rsidR="006265BC" w:rsidRPr="003E5C4C">
        <w:rPr>
          <w:rFonts w:asciiTheme="majorBidi" w:hAnsiTheme="majorBidi" w:cstheme="majorBidi"/>
          <w:color w:val="000000" w:themeColor="text1"/>
          <w:sz w:val="32"/>
        </w:rPr>
        <w:t xml:space="preserve"> is </w:t>
      </w:r>
      <w:r w:rsidR="002030A7">
        <w:rPr>
          <w:rFonts w:asciiTheme="majorBidi" w:hAnsiTheme="majorBidi" w:cstheme="majorBidi"/>
          <w:color w:val="000000" w:themeColor="text1"/>
          <w:sz w:val="32"/>
        </w:rPr>
        <w:t xml:space="preserve">in </w:t>
      </w:r>
      <w:r w:rsidR="00145C9A" w:rsidRPr="003E5C4C">
        <w:rPr>
          <w:rFonts w:asciiTheme="majorBidi" w:hAnsiTheme="majorBidi" w:cstheme="majorBidi"/>
          <w:color w:val="000000" w:themeColor="text1"/>
          <w:sz w:val="32"/>
        </w:rPr>
        <w:t xml:space="preserve">substantial violation of Handbook </w:t>
      </w:r>
      <w:r w:rsidR="008F6E90" w:rsidRPr="003E5C4C">
        <w:rPr>
          <w:rFonts w:asciiTheme="majorBidi" w:hAnsiTheme="majorBidi" w:cstheme="majorBidi"/>
          <w:color w:val="000000" w:themeColor="text1"/>
          <w:sz w:val="32"/>
        </w:rPr>
        <w:t>language under 305.3.1.3</w:t>
      </w:r>
      <w:r w:rsidR="006265BC" w:rsidRPr="003E5C4C">
        <w:rPr>
          <w:rFonts w:asciiTheme="majorBidi" w:hAnsiTheme="majorBidi" w:cstheme="majorBidi"/>
          <w:color w:val="000000" w:themeColor="text1"/>
          <w:sz w:val="32"/>
        </w:rPr>
        <w:t>:</w:t>
      </w:r>
    </w:p>
    <w:p w:rsidR="00811985" w:rsidRPr="003E5C4C" w:rsidRDefault="00145C9A" w:rsidP="00811985">
      <w:pPr>
        <w:pStyle w:val="NormalWeb"/>
        <w:ind w:left="720"/>
        <w:jc w:val="both"/>
        <w:rPr>
          <w:rStyle w:val="Strong"/>
          <w:rFonts w:asciiTheme="majorBidi" w:hAnsiTheme="majorBidi" w:cstheme="majorBidi"/>
          <w:b w:val="0"/>
          <w:bCs w:val="0"/>
          <w:i/>
          <w:iCs/>
          <w:color w:val="000000" w:themeColor="text1"/>
          <w:szCs w:val="20"/>
        </w:rPr>
      </w:pPr>
      <w:r w:rsidRPr="003E5C4C">
        <w:rPr>
          <w:rStyle w:val="Strong"/>
          <w:rFonts w:asciiTheme="majorBidi" w:hAnsiTheme="majorBidi" w:cstheme="majorBidi"/>
          <w:i/>
          <w:iCs/>
          <w:color w:val="000000" w:themeColor="text1"/>
          <w:szCs w:val="20"/>
        </w:rPr>
        <w:t>305.3.1.3 Benchmark for Faculty Composition.</w:t>
      </w:r>
      <w:r w:rsidRPr="003E5C4C">
        <w:rPr>
          <w:rFonts w:asciiTheme="majorBidi" w:hAnsiTheme="majorBidi" w:cstheme="majorBidi"/>
          <w:i/>
          <w:iCs/>
          <w:color w:val="000000" w:themeColor="text1"/>
          <w:szCs w:val="20"/>
        </w:rPr>
        <w:t xml:space="preserve"> Under typical enrollment patterns, tenured and tenure-track faculty should constitute approximately 65 percent of the full-time equivalent faculty.</w:t>
      </w:r>
    </w:p>
    <w:p w:rsidR="00811985" w:rsidRPr="003E5C4C" w:rsidRDefault="00145C9A" w:rsidP="00811985">
      <w:pPr>
        <w:pStyle w:val="NormalWeb"/>
        <w:jc w:val="both"/>
        <w:rPr>
          <w:rStyle w:val="Strong"/>
          <w:rFonts w:asciiTheme="majorBidi" w:hAnsiTheme="majorBidi" w:cstheme="majorBidi"/>
          <w:color w:val="000000" w:themeColor="text1"/>
          <w:sz w:val="32"/>
        </w:rPr>
      </w:pPr>
      <w:r w:rsidRPr="003E5C4C">
        <w:rPr>
          <w:rStyle w:val="Strong"/>
          <w:rFonts w:asciiTheme="majorBidi" w:hAnsiTheme="majorBidi" w:cstheme="majorBidi"/>
          <w:color w:val="000000" w:themeColor="text1"/>
          <w:sz w:val="32"/>
        </w:rPr>
        <w:t xml:space="preserve">I. </w:t>
      </w:r>
      <w:r w:rsidR="00811985" w:rsidRPr="003E5C4C">
        <w:rPr>
          <w:rStyle w:val="Strong"/>
          <w:rFonts w:asciiTheme="majorBidi" w:hAnsiTheme="majorBidi" w:cstheme="majorBidi"/>
          <w:color w:val="000000" w:themeColor="text1"/>
          <w:sz w:val="32"/>
        </w:rPr>
        <w:t>Student Credit Hour Ratio (</w:t>
      </w:r>
      <w:r w:rsidR="00824EB7" w:rsidRPr="003E5C4C">
        <w:rPr>
          <w:rStyle w:val="Strong"/>
          <w:rFonts w:asciiTheme="majorBidi" w:hAnsiTheme="majorBidi" w:cstheme="majorBidi"/>
          <w:color w:val="000000" w:themeColor="text1"/>
          <w:sz w:val="32"/>
        </w:rPr>
        <w:t xml:space="preserve">Goal: </w:t>
      </w:r>
      <w:r w:rsidR="00811985" w:rsidRPr="003E5C4C">
        <w:rPr>
          <w:rStyle w:val="Strong"/>
          <w:rFonts w:asciiTheme="majorBidi" w:hAnsiTheme="majorBidi" w:cstheme="majorBidi"/>
          <w:color w:val="000000" w:themeColor="text1"/>
          <w:sz w:val="32"/>
        </w:rPr>
        <w:t>70/15/15)</w:t>
      </w:r>
    </w:p>
    <w:p w:rsidR="00811985" w:rsidRPr="003E5C4C" w:rsidRDefault="00811985" w:rsidP="00811985">
      <w:pPr>
        <w:pStyle w:val="NormalWeb"/>
        <w:jc w:val="both"/>
        <w:rPr>
          <w:rStyle w:val="Strong"/>
          <w:rFonts w:asciiTheme="majorBidi" w:hAnsiTheme="majorBidi" w:cstheme="majorBidi"/>
          <w:b w:val="0"/>
          <w:bCs w:val="0"/>
          <w:color w:val="000000" w:themeColor="text1"/>
          <w:sz w:val="32"/>
        </w:rPr>
      </w:pPr>
      <w:r w:rsidRPr="003E5C4C">
        <w:rPr>
          <w:rStyle w:val="Strong"/>
          <w:rFonts w:asciiTheme="majorBidi" w:hAnsiTheme="majorBidi" w:cstheme="majorBidi"/>
          <w:b w:val="0"/>
          <w:bCs w:val="0"/>
          <w:color w:val="000000" w:themeColor="text1"/>
          <w:sz w:val="32"/>
        </w:rPr>
        <w:t xml:space="preserve">Our student credit hour ratio as of </w:t>
      </w:r>
      <w:proofErr w:type="gramStart"/>
      <w:r w:rsidRPr="003E5C4C">
        <w:rPr>
          <w:rStyle w:val="Strong"/>
          <w:rFonts w:asciiTheme="majorBidi" w:hAnsiTheme="majorBidi" w:cstheme="majorBidi"/>
          <w:b w:val="0"/>
          <w:bCs w:val="0"/>
          <w:color w:val="000000" w:themeColor="text1"/>
          <w:sz w:val="32"/>
        </w:rPr>
        <w:t>Fall</w:t>
      </w:r>
      <w:proofErr w:type="gramEnd"/>
      <w:r w:rsidRPr="003E5C4C">
        <w:rPr>
          <w:rStyle w:val="Strong"/>
          <w:rFonts w:asciiTheme="majorBidi" w:hAnsiTheme="majorBidi" w:cstheme="majorBidi"/>
          <w:b w:val="0"/>
          <w:bCs w:val="0"/>
          <w:color w:val="000000" w:themeColor="text1"/>
          <w:sz w:val="32"/>
        </w:rPr>
        <w:t xml:space="preserve"> 2016 stood at roughly </w:t>
      </w:r>
      <w:r w:rsidRPr="003E5C4C">
        <w:rPr>
          <w:rStyle w:val="Strong"/>
          <w:rFonts w:asciiTheme="majorBidi" w:hAnsiTheme="majorBidi" w:cstheme="majorBidi"/>
          <w:color w:val="000000" w:themeColor="text1"/>
          <w:sz w:val="32"/>
        </w:rPr>
        <w:t>47/25/28</w:t>
      </w:r>
      <w:r w:rsidRPr="003E5C4C">
        <w:rPr>
          <w:rStyle w:val="Strong"/>
          <w:rFonts w:asciiTheme="majorBidi" w:hAnsiTheme="majorBidi" w:cstheme="majorBidi"/>
          <w:b w:val="0"/>
          <w:bCs w:val="0"/>
          <w:color w:val="000000" w:themeColor="text1"/>
          <w:sz w:val="32"/>
        </w:rPr>
        <w:t xml:space="preserve">.  That is, only 46.9% of student credit hours were taught by tenured or tenure track faculty, while 24.7% of student credit hours were delivered by multi-year instructors, and 28.4% by temporary faculty (including </w:t>
      </w:r>
      <w:r w:rsidRPr="003E5C4C">
        <w:rPr>
          <w:rStyle w:val="Strong"/>
          <w:rFonts w:asciiTheme="majorBidi" w:hAnsiTheme="majorBidi" w:cstheme="majorBidi"/>
          <w:b w:val="0"/>
          <w:bCs w:val="0"/>
          <w:color w:val="000000" w:themeColor="text1"/>
          <w:sz w:val="32"/>
        </w:rPr>
        <w:lastRenderedPageBreak/>
        <w:t xml:space="preserve">instructors on one-year appointments), graduate assistants, and administrative or irregular teaching appointments.  This is not close to the 70/15/15 distribution called for by the President and Provost, and in substantial violation of the 65% full-time equivalent target in Handbook 305.3.1.3 (above) both in numbers and by student credit hours taught.  </w:t>
      </w:r>
      <w:r w:rsidR="00536430">
        <w:rPr>
          <w:rStyle w:val="Strong"/>
          <w:rFonts w:asciiTheme="majorBidi" w:hAnsiTheme="majorBidi" w:cstheme="majorBidi"/>
          <w:b w:val="0"/>
          <w:bCs w:val="0"/>
          <w:color w:val="000000" w:themeColor="text1"/>
          <w:sz w:val="32"/>
        </w:rPr>
        <w:t xml:space="preserve">This does not correspond to the </w:t>
      </w:r>
      <w:r w:rsidRPr="003E5C4C">
        <w:rPr>
          <w:rStyle w:val="Strong"/>
          <w:rFonts w:asciiTheme="majorBidi" w:hAnsiTheme="majorBidi" w:cstheme="majorBidi"/>
          <w:b w:val="0"/>
          <w:bCs w:val="0"/>
          <w:color w:val="000000" w:themeColor="text1"/>
          <w:sz w:val="32"/>
        </w:rPr>
        <w:t>75% instructional hour standard called for in 305.3.1.4:</w:t>
      </w:r>
    </w:p>
    <w:p w:rsidR="00811985" w:rsidRPr="003E5C4C" w:rsidRDefault="00811985" w:rsidP="00811985">
      <w:pPr>
        <w:pStyle w:val="NormalWeb"/>
        <w:ind w:left="720"/>
        <w:jc w:val="both"/>
        <w:rPr>
          <w:rStyle w:val="Strong"/>
          <w:rFonts w:asciiTheme="majorBidi" w:hAnsiTheme="majorBidi" w:cstheme="majorBidi"/>
          <w:b w:val="0"/>
          <w:bCs w:val="0"/>
          <w:i/>
          <w:iCs/>
          <w:color w:val="000000" w:themeColor="text1"/>
          <w:szCs w:val="20"/>
        </w:rPr>
      </w:pPr>
      <w:r w:rsidRPr="003E5C4C">
        <w:rPr>
          <w:rStyle w:val="Strong"/>
          <w:i/>
          <w:iCs/>
          <w:szCs w:val="20"/>
        </w:rPr>
        <w:t>305.3.1.4 Rationale for Staffing.</w:t>
      </w:r>
      <w:r w:rsidRPr="003E5C4C">
        <w:rPr>
          <w:i/>
          <w:iCs/>
          <w:szCs w:val="20"/>
        </w:rPr>
        <w:t xml:space="preserve"> Chairs of departments/schools in which regular faculty routinely teach less than 75 percent of the total instructional hours shall submit rationales for such staffing at the time of their program reviews. The rationales should be produced in consultation with department faculty and should be based on academic quality, appropriate assignment of faculty, positive effects on program delivery, and fiscal management. Continued funding for such levels of Instructors and Lecturer faculty employment shall be dependent on the favorable evaluation of the rationale by the dean, and the Provost and Vice President for Academic Affairs.</w:t>
      </w:r>
    </w:p>
    <w:p w:rsidR="00811985" w:rsidRPr="003E5C4C" w:rsidRDefault="00811985" w:rsidP="00811985">
      <w:pPr>
        <w:pStyle w:val="NormalWeb"/>
        <w:jc w:val="both"/>
        <w:rPr>
          <w:rStyle w:val="Strong"/>
          <w:rFonts w:asciiTheme="majorBidi" w:hAnsiTheme="majorBidi" w:cstheme="majorBidi"/>
          <w:b w:val="0"/>
          <w:bCs w:val="0"/>
          <w:color w:val="000000" w:themeColor="text1"/>
          <w:sz w:val="32"/>
        </w:rPr>
      </w:pPr>
      <w:r w:rsidRPr="003E5C4C">
        <w:rPr>
          <w:rStyle w:val="Strong"/>
          <w:rFonts w:asciiTheme="majorBidi" w:hAnsiTheme="majorBidi" w:cstheme="majorBidi"/>
          <w:b w:val="0"/>
          <w:bCs w:val="0"/>
          <w:color w:val="000000" w:themeColor="text1"/>
          <w:sz w:val="32"/>
        </w:rPr>
        <w:t xml:space="preserve">In terms of headcount, Tenured and Tenure Track </w:t>
      </w:r>
      <w:r w:rsidR="00304AE3">
        <w:rPr>
          <w:rStyle w:val="Strong"/>
          <w:rFonts w:asciiTheme="majorBidi" w:hAnsiTheme="majorBidi" w:cstheme="majorBidi"/>
          <w:b w:val="0"/>
          <w:bCs w:val="0"/>
          <w:color w:val="000000" w:themeColor="text1"/>
          <w:sz w:val="32"/>
        </w:rPr>
        <w:t>(</w:t>
      </w:r>
      <w:r w:rsidR="00304AE3">
        <w:rPr>
          <w:rFonts w:asciiTheme="majorBidi" w:hAnsiTheme="majorBidi" w:cstheme="majorBidi"/>
          <w:color w:val="000000" w:themeColor="text1"/>
          <w:sz w:val="32"/>
        </w:rPr>
        <w:t xml:space="preserve">T&amp;TT) </w:t>
      </w:r>
      <w:r w:rsidRPr="003E5C4C">
        <w:rPr>
          <w:rStyle w:val="Strong"/>
          <w:rFonts w:asciiTheme="majorBidi" w:hAnsiTheme="majorBidi" w:cstheme="majorBidi"/>
          <w:b w:val="0"/>
          <w:bCs w:val="0"/>
          <w:color w:val="000000" w:themeColor="text1"/>
          <w:sz w:val="32"/>
        </w:rPr>
        <w:t xml:space="preserve">faculty make up 54.5% of the teaching faculty, </w:t>
      </w:r>
      <w:r w:rsidR="00824EB7" w:rsidRPr="003E5C4C">
        <w:rPr>
          <w:rStyle w:val="Strong"/>
          <w:rFonts w:asciiTheme="majorBidi" w:hAnsiTheme="majorBidi" w:cstheme="majorBidi"/>
          <w:b w:val="0"/>
          <w:bCs w:val="0"/>
          <w:color w:val="000000" w:themeColor="text1"/>
          <w:sz w:val="32"/>
        </w:rPr>
        <w:t xml:space="preserve">but account for </w:t>
      </w:r>
      <w:r w:rsidRPr="003E5C4C">
        <w:rPr>
          <w:rStyle w:val="Strong"/>
          <w:rFonts w:asciiTheme="majorBidi" w:hAnsiTheme="majorBidi" w:cstheme="majorBidi"/>
          <w:b w:val="0"/>
          <w:bCs w:val="0"/>
          <w:color w:val="000000" w:themeColor="text1"/>
          <w:sz w:val="32"/>
        </w:rPr>
        <w:t xml:space="preserve">only 33.4% of the total instructional base if we include graduate assistants, administrative staff who have come to teach a substantial portion of the university’s student credit hours.   </w:t>
      </w:r>
    </w:p>
    <w:p w:rsidR="00824EB7" w:rsidRPr="003E5C4C" w:rsidRDefault="00811985" w:rsidP="00811985">
      <w:pPr>
        <w:pStyle w:val="NormalWeb"/>
        <w:jc w:val="both"/>
        <w:rPr>
          <w:rFonts w:asciiTheme="majorBidi" w:hAnsiTheme="majorBidi" w:cstheme="majorBidi"/>
          <w:color w:val="000000" w:themeColor="text1"/>
          <w:sz w:val="32"/>
        </w:rPr>
      </w:pPr>
      <w:r w:rsidRPr="003E5C4C">
        <w:rPr>
          <w:rFonts w:asciiTheme="majorBidi" w:hAnsiTheme="majorBidi" w:cstheme="majorBidi"/>
          <w:color w:val="000000" w:themeColor="text1"/>
          <w:sz w:val="32"/>
        </w:rPr>
        <w:t xml:space="preserve">In </w:t>
      </w:r>
      <w:proofErr w:type="gramStart"/>
      <w:r w:rsidRPr="003E5C4C">
        <w:rPr>
          <w:rFonts w:asciiTheme="majorBidi" w:hAnsiTheme="majorBidi" w:cstheme="majorBidi"/>
          <w:color w:val="000000" w:themeColor="text1"/>
          <w:sz w:val="32"/>
        </w:rPr>
        <w:t>Fall</w:t>
      </w:r>
      <w:proofErr w:type="gramEnd"/>
      <w:r w:rsidRPr="003E5C4C">
        <w:rPr>
          <w:rFonts w:asciiTheme="majorBidi" w:hAnsiTheme="majorBidi" w:cstheme="majorBidi"/>
          <w:color w:val="000000" w:themeColor="text1"/>
          <w:sz w:val="32"/>
        </w:rPr>
        <w:t xml:space="preserve"> 2016, there were 378 FTE T&amp;TT faculty teaching a total number of 78,616.4 student credit hours.  If the total number of SCH is divided by the total number of T&amp;TT FTE then we find that each T&amp;TT faculty member taught an average </w:t>
      </w:r>
      <w:r w:rsidRPr="003E5C4C">
        <w:rPr>
          <w:rFonts w:asciiTheme="majorBidi" w:hAnsiTheme="majorBidi" w:cstheme="majorBidi"/>
          <w:b/>
          <w:bCs/>
          <w:color w:val="000000" w:themeColor="text1"/>
          <w:sz w:val="32"/>
        </w:rPr>
        <w:t>208 SCH</w:t>
      </w:r>
      <w:r w:rsidRPr="003E5C4C">
        <w:rPr>
          <w:rFonts w:asciiTheme="majorBidi" w:hAnsiTheme="majorBidi" w:cstheme="majorBidi"/>
          <w:color w:val="000000" w:themeColor="text1"/>
          <w:sz w:val="32"/>
        </w:rPr>
        <w:t xml:space="preserve"> in Fall 2016 (</w:t>
      </w:r>
      <w:proofErr w:type="spellStart"/>
      <w:r w:rsidRPr="003E5C4C">
        <w:rPr>
          <w:rFonts w:asciiTheme="majorBidi" w:hAnsiTheme="majorBidi" w:cstheme="majorBidi"/>
          <w:color w:val="000000" w:themeColor="text1"/>
          <w:sz w:val="32"/>
        </w:rPr>
        <w:t>n.b.</w:t>
      </w:r>
      <w:proofErr w:type="spellEnd"/>
      <w:r w:rsidRPr="003E5C4C">
        <w:rPr>
          <w:rFonts w:asciiTheme="majorBidi" w:hAnsiTheme="majorBidi" w:cstheme="majorBidi"/>
          <w:color w:val="000000" w:themeColor="text1"/>
          <w:sz w:val="32"/>
        </w:rPr>
        <w:t xml:space="preserve">, a faculty member teaching a three credit class with 23 students in it will have taught a total of 69 SCH for that one class, if the same faculty member taught three such classes during the semester, he or she would be right at the average).  </w:t>
      </w:r>
    </w:p>
    <w:p w:rsidR="00811985" w:rsidRPr="003E5C4C" w:rsidRDefault="00811985" w:rsidP="00811985">
      <w:pPr>
        <w:pStyle w:val="NormalWeb"/>
        <w:jc w:val="both"/>
        <w:rPr>
          <w:rFonts w:asciiTheme="majorBidi" w:hAnsiTheme="majorBidi" w:cstheme="majorBidi"/>
          <w:color w:val="000000" w:themeColor="text1"/>
          <w:sz w:val="32"/>
        </w:rPr>
      </w:pPr>
      <w:r w:rsidRPr="003E5C4C">
        <w:rPr>
          <w:rFonts w:asciiTheme="majorBidi" w:hAnsiTheme="majorBidi" w:cstheme="majorBidi"/>
          <w:color w:val="000000" w:themeColor="text1"/>
          <w:sz w:val="32"/>
        </w:rPr>
        <w:t xml:space="preserve">There were 107 FTE instructors teaching a total number of 41,365.6 SCH, or an average of </w:t>
      </w:r>
      <w:r w:rsidRPr="003E5C4C">
        <w:rPr>
          <w:rFonts w:asciiTheme="majorBidi" w:hAnsiTheme="majorBidi" w:cstheme="majorBidi"/>
          <w:b/>
          <w:bCs/>
          <w:color w:val="000000" w:themeColor="text1"/>
          <w:sz w:val="32"/>
        </w:rPr>
        <w:t>387 SCH</w:t>
      </w:r>
      <w:r w:rsidRPr="003E5C4C">
        <w:rPr>
          <w:rFonts w:asciiTheme="majorBidi" w:hAnsiTheme="majorBidi" w:cstheme="majorBidi"/>
          <w:color w:val="000000" w:themeColor="text1"/>
          <w:sz w:val="32"/>
        </w:rPr>
        <w:t xml:space="preserve"> per instructor.  In </w:t>
      </w:r>
      <w:proofErr w:type="gramStart"/>
      <w:r w:rsidRPr="003E5C4C">
        <w:rPr>
          <w:rFonts w:asciiTheme="majorBidi" w:hAnsiTheme="majorBidi" w:cstheme="majorBidi"/>
          <w:color w:val="000000" w:themeColor="text1"/>
          <w:sz w:val="32"/>
        </w:rPr>
        <w:t>Fall</w:t>
      </w:r>
      <w:proofErr w:type="gramEnd"/>
      <w:r w:rsidRPr="003E5C4C">
        <w:rPr>
          <w:rFonts w:asciiTheme="majorBidi" w:hAnsiTheme="majorBidi" w:cstheme="majorBidi"/>
          <w:color w:val="000000" w:themeColor="text1"/>
          <w:sz w:val="32"/>
        </w:rPr>
        <w:t xml:space="preserve"> 2016, there were 79.3 FTE lecturers (contract faculty) teaching a total number of 29,837.8 SCH.  Due to the fact that lecturers have varying teaching loads, from </w:t>
      </w:r>
      <w:r w:rsidRPr="003E5C4C">
        <w:rPr>
          <w:rFonts w:asciiTheme="majorBidi" w:hAnsiTheme="majorBidi" w:cstheme="majorBidi"/>
          <w:color w:val="000000" w:themeColor="text1"/>
          <w:sz w:val="32"/>
        </w:rPr>
        <w:lastRenderedPageBreak/>
        <w:t>one to five classes, we cannot calculate a meaningful average for comparison.</w:t>
      </w:r>
    </w:p>
    <w:p w:rsidR="00811985" w:rsidRPr="003E5C4C" w:rsidRDefault="00811985" w:rsidP="00811985">
      <w:pPr>
        <w:pStyle w:val="NormalWeb"/>
        <w:jc w:val="both"/>
        <w:rPr>
          <w:rFonts w:asciiTheme="majorBidi" w:hAnsiTheme="majorBidi" w:cstheme="majorBidi"/>
          <w:color w:val="C00000"/>
          <w:sz w:val="32"/>
        </w:rPr>
      </w:pPr>
    </w:p>
    <w:tbl>
      <w:tblPr>
        <w:tblW w:w="9140" w:type="dxa"/>
        <w:tblInd w:w="93" w:type="dxa"/>
        <w:tblLook w:val="04A0" w:firstRow="1" w:lastRow="0" w:firstColumn="1" w:lastColumn="0" w:noHBand="0" w:noVBand="1"/>
      </w:tblPr>
      <w:tblGrid>
        <w:gridCol w:w="1945"/>
        <w:gridCol w:w="1291"/>
        <w:gridCol w:w="1224"/>
        <w:gridCol w:w="1224"/>
        <w:gridCol w:w="1099"/>
        <w:gridCol w:w="1350"/>
        <w:gridCol w:w="1350"/>
      </w:tblGrid>
      <w:tr w:rsidR="00811985" w:rsidRPr="0097536F" w:rsidTr="00DC2CA6">
        <w:trPr>
          <w:trHeight w:val="300"/>
        </w:trPr>
        <w:tc>
          <w:tcPr>
            <w:tcW w:w="9140" w:type="dxa"/>
            <w:gridSpan w:val="7"/>
            <w:tcBorders>
              <w:top w:val="nil"/>
              <w:left w:val="nil"/>
              <w:bottom w:val="nil"/>
              <w:right w:val="nil"/>
            </w:tcBorders>
            <w:shd w:val="clear" w:color="auto" w:fill="auto"/>
            <w:noWrap/>
            <w:vAlign w:val="bottom"/>
            <w:hideMark/>
          </w:tcPr>
          <w:p w:rsidR="00811985" w:rsidRPr="003E5C4C" w:rsidRDefault="00464DB0" w:rsidP="00DC2CA6">
            <w:pPr>
              <w:spacing w:after="0" w:line="240" w:lineRule="auto"/>
              <w:jc w:val="both"/>
              <w:rPr>
                <w:rFonts w:asciiTheme="majorBidi" w:eastAsia="Times New Roman" w:hAnsiTheme="majorBidi" w:cstheme="majorBidi"/>
                <w:b/>
                <w:bCs/>
                <w:color w:val="000000" w:themeColor="text1"/>
                <w:sz w:val="28"/>
              </w:rPr>
            </w:pPr>
            <w:r w:rsidRPr="003E5C4C">
              <w:rPr>
                <w:rFonts w:asciiTheme="majorBidi" w:eastAsia="Times New Roman" w:hAnsiTheme="majorBidi" w:cstheme="majorBidi"/>
                <w:b/>
                <w:bCs/>
                <w:color w:val="000000" w:themeColor="text1"/>
                <w:sz w:val="28"/>
              </w:rPr>
              <w:t xml:space="preserve">Figure 1: </w:t>
            </w:r>
            <w:r w:rsidR="00811985" w:rsidRPr="003E5C4C">
              <w:rPr>
                <w:rFonts w:asciiTheme="majorBidi" w:eastAsia="Times New Roman" w:hAnsiTheme="majorBidi" w:cstheme="majorBidi"/>
                <w:b/>
                <w:bCs/>
                <w:color w:val="000000" w:themeColor="text1"/>
                <w:sz w:val="28"/>
              </w:rPr>
              <w:t>Fall 2016 Faculty, FTE and Student Credit Hours by Faculty Type</w:t>
            </w:r>
          </w:p>
        </w:tc>
      </w:tr>
      <w:tr w:rsidR="00811985" w:rsidRPr="0097536F" w:rsidTr="00DC2CA6">
        <w:trPr>
          <w:trHeight w:val="315"/>
        </w:trPr>
        <w:tc>
          <w:tcPr>
            <w:tcW w:w="2138" w:type="dxa"/>
            <w:tcBorders>
              <w:top w:val="nil"/>
              <w:left w:val="nil"/>
              <w:bottom w:val="single" w:sz="8" w:space="0" w:color="auto"/>
              <w:right w:val="nil"/>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c>
          <w:tcPr>
            <w:tcW w:w="1411" w:type="dxa"/>
            <w:tcBorders>
              <w:top w:val="nil"/>
              <w:left w:val="nil"/>
              <w:bottom w:val="single" w:sz="8" w:space="0" w:color="auto"/>
              <w:right w:val="nil"/>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c>
          <w:tcPr>
            <w:tcW w:w="1096" w:type="dxa"/>
            <w:tcBorders>
              <w:top w:val="nil"/>
              <w:left w:val="nil"/>
              <w:bottom w:val="single" w:sz="8" w:space="0" w:color="auto"/>
              <w:right w:val="nil"/>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c>
          <w:tcPr>
            <w:tcW w:w="1096" w:type="dxa"/>
            <w:tcBorders>
              <w:top w:val="nil"/>
              <w:left w:val="nil"/>
              <w:bottom w:val="single" w:sz="8" w:space="0" w:color="auto"/>
              <w:right w:val="nil"/>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c>
          <w:tcPr>
            <w:tcW w:w="987" w:type="dxa"/>
            <w:tcBorders>
              <w:top w:val="nil"/>
              <w:left w:val="nil"/>
              <w:bottom w:val="single" w:sz="8" w:space="0" w:color="auto"/>
              <w:right w:val="nil"/>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c>
          <w:tcPr>
            <w:tcW w:w="1206" w:type="dxa"/>
            <w:tcBorders>
              <w:top w:val="nil"/>
              <w:left w:val="nil"/>
              <w:bottom w:val="single" w:sz="8" w:space="0" w:color="auto"/>
              <w:right w:val="nil"/>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c>
          <w:tcPr>
            <w:tcW w:w="1206" w:type="dxa"/>
            <w:tcBorders>
              <w:top w:val="nil"/>
              <w:left w:val="nil"/>
              <w:bottom w:val="single" w:sz="8" w:space="0" w:color="auto"/>
              <w:right w:val="nil"/>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r>
      <w:tr w:rsidR="00811985" w:rsidRPr="0097536F" w:rsidTr="00DC2CA6">
        <w:trPr>
          <w:trHeight w:val="315"/>
        </w:trPr>
        <w:tc>
          <w:tcPr>
            <w:tcW w:w="21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 </w:t>
            </w:r>
          </w:p>
        </w:tc>
        <w:tc>
          <w:tcPr>
            <w:tcW w:w="14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Faculty (T-TT)</w:t>
            </w:r>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Multi-</w:t>
            </w:r>
            <w:proofErr w:type="spellStart"/>
            <w:r w:rsidRPr="003E5C4C">
              <w:rPr>
                <w:rFonts w:asciiTheme="majorBidi" w:eastAsia="Times New Roman" w:hAnsiTheme="majorBidi" w:cstheme="majorBidi"/>
                <w:color w:val="000000" w:themeColor="text1"/>
                <w:sz w:val="28"/>
              </w:rPr>
              <w:t>Yr</w:t>
            </w:r>
            <w:proofErr w:type="spellEnd"/>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Temp*</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roofErr w:type="spellStart"/>
            <w:r w:rsidRPr="003E5C4C">
              <w:rPr>
                <w:rFonts w:asciiTheme="majorBidi" w:eastAsia="Times New Roman" w:hAnsiTheme="majorBidi" w:cstheme="majorBidi"/>
                <w:color w:val="000000" w:themeColor="text1"/>
                <w:sz w:val="28"/>
              </w:rPr>
              <w:t>GRrAsst</w:t>
            </w:r>
            <w:proofErr w:type="spellEnd"/>
          </w:p>
        </w:tc>
        <w:tc>
          <w:tcPr>
            <w:tcW w:w="12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roofErr w:type="spellStart"/>
            <w:r w:rsidRPr="003E5C4C">
              <w:rPr>
                <w:rFonts w:asciiTheme="majorBidi" w:eastAsia="Times New Roman" w:hAnsiTheme="majorBidi" w:cstheme="majorBidi"/>
                <w:color w:val="000000" w:themeColor="text1"/>
                <w:sz w:val="28"/>
              </w:rPr>
              <w:t>AdmOth</w:t>
            </w:r>
            <w:proofErr w:type="spellEnd"/>
            <w:r w:rsidRPr="003E5C4C">
              <w:rPr>
                <w:rFonts w:asciiTheme="majorBidi" w:eastAsia="Times New Roman" w:hAnsiTheme="majorBidi" w:cstheme="majorBidi"/>
                <w:color w:val="000000" w:themeColor="text1"/>
                <w:sz w:val="28"/>
              </w:rPr>
              <w:t>**</w:t>
            </w:r>
          </w:p>
        </w:tc>
        <w:tc>
          <w:tcPr>
            <w:tcW w:w="12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Total</w:t>
            </w:r>
          </w:p>
        </w:tc>
      </w:tr>
      <w:tr w:rsidR="00811985" w:rsidRPr="0097536F" w:rsidTr="00DC2CA6">
        <w:trPr>
          <w:trHeight w:val="315"/>
        </w:trPr>
        <w:tc>
          <w:tcPr>
            <w:tcW w:w="21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Headcount</w:t>
            </w:r>
          </w:p>
        </w:tc>
        <w:tc>
          <w:tcPr>
            <w:tcW w:w="14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378</w:t>
            </w:r>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107</w:t>
            </w:r>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208</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323</w:t>
            </w:r>
          </w:p>
        </w:tc>
        <w:tc>
          <w:tcPr>
            <w:tcW w:w="12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115</w:t>
            </w:r>
          </w:p>
        </w:tc>
        <w:tc>
          <w:tcPr>
            <w:tcW w:w="12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1131</w:t>
            </w:r>
          </w:p>
        </w:tc>
      </w:tr>
      <w:tr w:rsidR="00811985" w:rsidRPr="0097536F" w:rsidTr="00DC2CA6">
        <w:trPr>
          <w:trHeight w:val="300"/>
        </w:trPr>
        <w:tc>
          <w:tcPr>
            <w:tcW w:w="21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Faculty FTE</w:t>
            </w:r>
          </w:p>
        </w:tc>
        <w:tc>
          <w:tcPr>
            <w:tcW w:w="14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378</w:t>
            </w:r>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107</w:t>
            </w:r>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79.3</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0</w:t>
            </w:r>
          </w:p>
        </w:tc>
        <w:tc>
          <w:tcPr>
            <w:tcW w:w="12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0</w:t>
            </w:r>
          </w:p>
        </w:tc>
        <w:tc>
          <w:tcPr>
            <w:tcW w:w="12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564.3</w:t>
            </w:r>
          </w:p>
        </w:tc>
      </w:tr>
      <w:tr w:rsidR="00811985" w:rsidRPr="0097536F" w:rsidTr="00DC2CA6">
        <w:trPr>
          <w:trHeight w:val="300"/>
        </w:trPr>
        <w:tc>
          <w:tcPr>
            <w:tcW w:w="21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Faculty FTE Adjusted</w:t>
            </w:r>
          </w:p>
        </w:tc>
        <w:tc>
          <w:tcPr>
            <w:tcW w:w="14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350.8</w:t>
            </w:r>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106.8</w:t>
            </w:r>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79.3</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0</w:t>
            </w:r>
          </w:p>
        </w:tc>
        <w:tc>
          <w:tcPr>
            <w:tcW w:w="12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0</w:t>
            </w:r>
          </w:p>
        </w:tc>
        <w:tc>
          <w:tcPr>
            <w:tcW w:w="12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536.9</w:t>
            </w:r>
          </w:p>
        </w:tc>
      </w:tr>
      <w:tr w:rsidR="00811985" w:rsidRPr="0097536F" w:rsidTr="00DC2CA6">
        <w:trPr>
          <w:trHeight w:val="315"/>
        </w:trPr>
        <w:tc>
          <w:tcPr>
            <w:tcW w:w="21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SCH Production</w:t>
            </w:r>
          </w:p>
        </w:tc>
        <w:tc>
          <w:tcPr>
            <w:tcW w:w="14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78,616.40</w:t>
            </w:r>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41,365.60</w:t>
            </w:r>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29,837.80</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8,827.50</w:t>
            </w:r>
          </w:p>
        </w:tc>
        <w:tc>
          <w:tcPr>
            <w:tcW w:w="12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8,837.30</w:t>
            </w:r>
          </w:p>
        </w:tc>
        <w:tc>
          <w:tcPr>
            <w:tcW w:w="12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r w:rsidRPr="003E5C4C">
              <w:rPr>
                <w:rFonts w:asciiTheme="majorBidi" w:eastAsia="Times New Roman" w:hAnsiTheme="majorBidi" w:cstheme="majorBidi"/>
                <w:color w:val="000000" w:themeColor="text1"/>
                <w:sz w:val="28"/>
              </w:rPr>
              <w:t>167,484.50</w:t>
            </w:r>
          </w:p>
        </w:tc>
      </w:tr>
      <w:tr w:rsidR="00811985" w:rsidRPr="0097536F" w:rsidTr="00DC2CA6">
        <w:trPr>
          <w:trHeight w:val="300"/>
        </w:trPr>
        <w:tc>
          <w:tcPr>
            <w:tcW w:w="21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b/>
                <w:bCs/>
                <w:color w:val="000000" w:themeColor="text1"/>
                <w:sz w:val="28"/>
              </w:rPr>
            </w:pPr>
            <w:r w:rsidRPr="003E5C4C">
              <w:rPr>
                <w:rFonts w:asciiTheme="majorBidi" w:eastAsia="Times New Roman" w:hAnsiTheme="majorBidi" w:cstheme="majorBidi"/>
                <w:b/>
                <w:bCs/>
                <w:color w:val="000000" w:themeColor="text1"/>
                <w:sz w:val="28"/>
              </w:rPr>
              <w:t>Percentage of SCH</w:t>
            </w:r>
          </w:p>
        </w:tc>
        <w:tc>
          <w:tcPr>
            <w:tcW w:w="14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b/>
                <w:bCs/>
                <w:color w:val="000000" w:themeColor="text1"/>
                <w:sz w:val="28"/>
              </w:rPr>
            </w:pPr>
            <w:r w:rsidRPr="003E5C4C">
              <w:rPr>
                <w:rFonts w:asciiTheme="majorBidi" w:eastAsia="Times New Roman" w:hAnsiTheme="majorBidi" w:cstheme="majorBidi"/>
                <w:b/>
                <w:bCs/>
                <w:color w:val="000000" w:themeColor="text1"/>
                <w:sz w:val="28"/>
              </w:rPr>
              <w:t>46.9%</w:t>
            </w:r>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b/>
                <w:bCs/>
                <w:color w:val="000000" w:themeColor="text1"/>
                <w:sz w:val="28"/>
              </w:rPr>
            </w:pPr>
            <w:r w:rsidRPr="003E5C4C">
              <w:rPr>
                <w:rFonts w:asciiTheme="majorBidi" w:eastAsia="Times New Roman" w:hAnsiTheme="majorBidi" w:cstheme="majorBidi"/>
                <w:b/>
                <w:bCs/>
                <w:color w:val="000000" w:themeColor="text1"/>
                <w:sz w:val="28"/>
              </w:rPr>
              <w:t>24.7%</w:t>
            </w:r>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pPr>
              <w:spacing w:after="0" w:line="240" w:lineRule="auto"/>
              <w:jc w:val="both"/>
              <w:rPr>
                <w:rFonts w:asciiTheme="majorBidi" w:eastAsia="Times New Roman" w:hAnsiTheme="majorBidi" w:cstheme="majorBidi"/>
                <w:b/>
                <w:bCs/>
                <w:color w:val="000000" w:themeColor="text1"/>
                <w:sz w:val="28"/>
              </w:rPr>
            </w:pPr>
            <w:r w:rsidRPr="003E5C4C">
              <w:rPr>
                <w:rFonts w:asciiTheme="majorBidi" w:eastAsia="Times New Roman" w:hAnsiTheme="majorBidi" w:cstheme="majorBidi"/>
                <w:b/>
                <w:bCs/>
                <w:color w:val="000000" w:themeColor="text1"/>
                <w:sz w:val="28"/>
              </w:rPr>
              <w:t>17.8%</w:t>
            </w:r>
            <w:r w:rsidR="00653541">
              <w:rPr>
                <w:rStyle w:val="FootnoteReference"/>
                <w:rFonts w:asciiTheme="majorBidi" w:eastAsia="Times New Roman" w:hAnsiTheme="majorBidi" w:cstheme="majorBidi"/>
                <w:b/>
                <w:bCs/>
                <w:color w:val="000000" w:themeColor="text1"/>
                <w:sz w:val="28"/>
              </w:rPr>
              <w:footnoteReference w:id="2"/>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b/>
                <w:bCs/>
                <w:color w:val="000000" w:themeColor="text1"/>
                <w:sz w:val="28"/>
              </w:rPr>
            </w:pPr>
            <w:r w:rsidRPr="003E5C4C">
              <w:rPr>
                <w:rFonts w:asciiTheme="majorBidi" w:eastAsia="Times New Roman" w:hAnsiTheme="majorBidi" w:cstheme="majorBidi"/>
                <w:b/>
                <w:bCs/>
                <w:color w:val="000000" w:themeColor="text1"/>
                <w:sz w:val="28"/>
              </w:rPr>
              <w:t>5.3%</w:t>
            </w:r>
          </w:p>
        </w:tc>
        <w:tc>
          <w:tcPr>
            <w:tcW w:w="12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b/>
                <w:bCs/>
                <w:color w:val="000000" w:themeColor="text1"/>
                <w:sz w:val="28"/>
              </w:rPr>
            </w:pPr>
            <w:r w:rsidRPr="003E5C4C">
              <w:rPr>
                <w:rFonts w:asciiTheme="majorBidi" w:eastAsia="Times New Roman" w:hAnsiTheme="majorBidi" w:cstheme="majorBidi"/>
                <w:b/>
                <w:bCs/>
                <w:color w:val="000000" w:themeColor="text1"/>
                <w:sz w:val="28"/>
              </w:rPr>
              <w:t>5.3%</w:t>
            </w:r>
          </w:p>
        </w:tc>
        <w:tc>
          <w:tcPr>
            <w:tcW w:w="12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r>
      <w:tr w:rsidR="00811985" w:rsidRPr="0097536F" w:rsidTr="00DC2CA6">
        <w:trPr>
          <w:trHeight w:val="300"/>
        </w:trPr>
        <w:tc>
          <w:tcPr>
            <w:tcW w:w="2138" w:type="dxa"/>
            <w:tcBorders>
              <w:top w:val="single" w:sz="8" w:space="0" w:color="auto"/>
              <w:left w:val="nil"/>
              <w:bottom w:val="nil"/>
              <w:right w:val="nil"/>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c>
          <w:tcPr>
            <w:tcW w:w="1411" w:type="dxa"/>
            <w:tcBorders>
              <w:top w:val="single" w:sz="8" w:space="0" w:color="auto"/>
              <w:left w:val="nil"/>
              <w:bottom w:val="nil"/>
              <w:right w:val="nil"/>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c>
          <w:tcPr>
            <w:tcW w:w="1096" w:type="dxa"/>
            <w:tcBorders>
              <w:top w:val="single" w:sz="8" w:space="0" w:color="auto"/>
              <w:left w:val="nil"/>
              <w:bottom w:val="nil"/>
              <w:right w:val="nil"/>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c>
          <w:tcPr>
            <w:tcW w:w="1096" w:type="dxa"/>
            <w:tcBorders>
              <w:top w:val="single" w:sz="8" w:space="0" w:color="auto"/>
              <w:left w:val="nil"/>
              <w:bottom w:val="nil"/>
              <w:right w:val="nil"/>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c>
          <w:tcPr>
            <w:tcW w:w="987" w:type="dxa"/>
            <w:tcBorders>
              <w:top w:val="single" w:sz="8" w:space="0" w:color="auto"/>
              <w:left w:val="nil"/>
              <w:bottom w:val="nil"/>
              <w:right w:val="nil"/>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c>
          <w:tcPr>
            <w:tcW w:w="1206" w:type="dxa"/>
            <w:tcBorders>
              <w:top w:val="single" w:sz="8" w:space="0" w:color="auto"/>
              <w:left w:val="nil"/>
              <w:bottom w:val="nil"/>
              <w:right w:val="nil"/>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c>
          <w:tcPr>
            <w:tcW w:w="1206" w:type="dxa"/>
            <w:tcBorders>
              <w:top w:val="single" w:sz="8" w:space="0" w:color="auto"/>
              <w:left w:val="nil"/>
              <w:bottom w:val="nil"/>
              <w:right w:val="nil"/>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r>
      <w:tr w:rsidR="00811985" w:rsidRPr="0097536F" w:rsidTr="00DC2CA6">
        <w:trPr>
          <w:trHeight w:val="540"/>
        </w:trPr>
        <w:tc>
          <w:tcPr>
            <w:tcW w:w="9140" w:type="dxa"/>
            <w:gridSpan w:val="7"/>
            <w:tcBorders>
              <w:top w:val="nil"/>
              <w:left w:val="nil"/>
              <w:bottom w:val="nil"/>
              <w:right w:val="nil"/>
            </w:tcBorders>
            <w:shd w:val="clear" w:color="auto" w:fill="auto"/>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Cs w:val="18"/>
              </w:rPr>
            </w:pPr>
            <w:r w:rsidRPr="003E5C4C">
              <w:rPr>
                <w:rFonts w:asciiTheme="majorBidi" w:eastAsia="Times New Roman" w:hAnsiTheme="majorBidi" w:cstheme="majorBidi"/>
                <w:color w:val="000000" w:themeColor="text1"/>
                <w:szCs w:val="18"/>
              </w:rPr>
              <w:t>*Temp category includes 1-yr (28.0 FTE) and part-time faculty (51.3 FTE); Staff with secondary part-time faculty jobs are in this category</w:t>
            </w:r>
          </w:p>
        </w:tc>
      </w:tr>
      <w:tr w:rsidR="00811985" w:rsidRPr="0097536F" w:rsidTr="00DC2CA6">
        <w:trPr>
          <w:trHeight w:val="795"/>
        </w:trPr>
        <w:tc>
          <w:tcPr>
            <w:tcW w:w="9140" w:type="dxa"/>
            <w:gridSpan w:val="7"/>
            <w:tcBorders>
              <w:top w:val="nil"/>
              <w:left w:val="nil"/>
              <w:bottom w:val="nil"/>
              <w:right w:val="nil"/>
            </w:tcBorders>
            <w:shd w:val="clear" w:color="auto" w:fill="auto"/>
            <w:hideMark/>
          </w:tcPr>
          <w:p w:rsidR="00811985" w:rsidRPr="003E5C4C" w:rsidRDefault="00811985">
            <w:pPr>
              <w:spacing w:after="0" w:line="240" w:lineRule="auto"/>
              <w:jc w:val="both"/>
              <w:rPr>
                <w:rFonts w:asciiTheme="majorBidi" w:eastAsia="Times New Roman" w:hAnsiTheme="majorBidi" w:cstheme="majorBidi"/>
                <w:color w:val="000000" w:themeColor="text1"/>
                <w:szCs w:val="18"/>
              </w:rPr>
            </w:pPr>
            <w:r w:rsidRPr="003E5C4C">
              <w:rPr>
                <w:rFonts w:asciiTheme="majorBidi" w:eastAsia="Times New Roman" w:hAnsiTheme="majorBidi" w:cstheme="majorBidi"/>
                <w:color w:val="000000" w:themeColor="text1"/>
                <w:szCs w:val="18"/>
              </w:rPr>
              <w:t xml:space="preserve">** </w:t>
            </w:r>
            <w:proofErr w:type="spellStart"/>
            <w:r w:rsidRPr="003E5C4C">
              <w:rPr>
                <w:rFonts w:asciiTheme="majorBidi" w:eastAsia="Times New Roman" w:hAnsiTheme="majorBidi" w:cstheme="majorBidi"/>
                <w:color w:val="000000" w:themeColor="text1"/>
                <w:szCs w:val="18"/>
              </w:rPr>
              <w:t>AdmOth</w:t>
            </w:r>
            <w:proofErr w:type="spellEnd"/>
            <w:r w:rsidRPr="003E5C4C">
              <w:rPr>
                <w:rFonts w:asciiTheme="majorBidi" w:eastAsia="Times New Roman" w:hAnsiTheme="majorBidi" w:cstheme="majorBidi"/>
                <w:color w:val="000000" w:themeColor="text1"/>
                <w:szCs w:val="18"/>
              </w:rPr>
              <w:t xml:space="preserve"> includes courses with no instructor of record and those taught by anyone who does not hold a faculty or Grad Assistant position (e.g. Administrators, Part-time staff, Professionals, HS College Challenge teachers, </w:t>
            </w:r>
            <w:proofErr w:type="spellStart"/>
            <w:r w:rsidRPr="003E5C4C">
              <w:rPr>
                <w:rFonts w:asciiTheme="majorBidi" w:eastAsia="Times New Roman" w:hAnsiTheme="majorBidi" w:cstheme="majorBidi"/>
                <w:color w:val="000000" w:themeColor="text1"/>
                <w:szCs w:val="18"/>
              </w:rPr>
              <w:t>etc</w:t>
            </w:r>
            <w:proofErr w:type="spellEnd"/>
            <w:r w:rsidRPr="003E5C4C">
              <w:rPr>
                <w:rFonts w:asciiTheme="majorBidi" w:eastAsia="Times New Roman" w:hAnsiTheme="majorBidi" w:cstheme="majorBidi"/>
                <w:color w:val="000000" w:themeColor="text1"/>
                <w:szCs w:val="18"/>
              </w:rPr>
              <w:t>)</w:t>
            </w:r>
            <w:r w:rsidR="00BD5063">
              <w:rPr>
                <w:rStyle w:val="EndnoteReference"/>
                <w:rFonts w:asciiTheme="majorBidi" w:hAnsiTheme="majorBidi" w:cstheme="majorBidi"/>
                <w:b/>
                <w:bCs/>
                <w:color w:val="000000" w:themeColor="text1"/>
                <w:sz w:val="32"/>
              </w:rPr>
              <w:t xml:space="preserve"> </w:t>
            </w:r>
          </w:p>
        </w:tc>
      </w:tr>
      <w:tr w:rsidR="00811985" w:rsidRPr="0097536F" w:rsidTr="00DC2CA6">
        <w:trPr>
          <w:trHeight w:val="300"/>
        </w:trPr>
        <w:tc>
          <w:tcPr>
            <w:tcW w:w="6728" w:type="dxa"/>
            <w:gridSpan w:val="5"/>
            <w:tcBorders>
              <w:top w:val="nil"/>
              <w:left w:val="nil"/>
              <w:bottom w:val="nil"/>
              <w:right w:val="nil"/>
            </w:tcBorders>
            <w:shd w:val="clear" w:color="auto" w:fill="auto"/>
            <w:noWrap/>
            <w:vAlign w:val="bottom"/>
            <w:hideMark/>
          </w:tcPr>
          <w:p w:rsidR="00811985" w:rsidRPr="003E5C4C" w:rsidRDefault="00811985">
            <w:pPr>
              <w:spacing w:after="0" w:line="240" w:lineRule="auto"/>
              <w:jc w:val="both"/>
              <w:rPr>
                <w:rFonts w:asciiTheme="majorBidi" w:eastAsia="Times New Roman" w:hAnsiTheme="majorBidi" w:cstheme="majorBidi"/>
                <w:color w:val="000000" w:themeColor="text1"/>
                <w:szCs w:val="18"/>
              </w:rPr>
            </w:pPr>
            <w:proofErr w:type="spellStart"/>
            <w:r w:rsidRPr="003E5C4C">
              <w:rPr>
                <w:rFonts w:asciiTheme="majorBidi" w:eastAsia="Times New Roman" w:hAnsiTheme="majorBidi" w:cstheme="majorBidi"/>
                <w:color w:val="000000" w:themeColor="text1"/>
                <w:szCs w:val="18"/>
              </w:rPr>
              <w:t>DataWarehouse</w:t>
            </w:r>
            <w:proofErr w:type="spellEnd"/>
            <w:r w:rsidRPr="003E5C4C">
              <w:rPr>
                <w:rFonts w:asciiTheme="majorBidi" w:eastAsia="Times New Roman" w:hAnsiTheme="majorBidi" w:cstheme="majorBidi"/>
                <w:color w:val="000000" w:themeColor="text1"/>
                <w:szCs w:val="18"/>
              </w:rPr>
              <w:t xml:space="preserve"> Faculty Analysis via Enr2\Faculty FTE &amp; SCH by type; </w:t>
            </w:r>
            <w:proofErr w:type="spellStart"/>
            <w:r w:rsidRPr="003E5C4C">
              <w:rPr>
                <w:rFonts w:asciiTheme="majorBidi" w:eastAsia="Times New Roman" w:hAnsiTheme="majorBidi" w:cstheme="majorBidi"/>
                <w:color w:val="000000" w:themeColor="text1"/>
                <w:szCs w:val="18"/>
              </w:rPr>
              <w:t>AdmOth</w:t>
            </w:r>
            <w:proofErr w:type="spellEnd"/>
            <w:r w:rsidRPr="003E5C4C">
              <w:rPr>
                <w:rFonts w:asciiTheme="majorBidi" w:eastAsia="Times New Roman" w:hAnsiTheme="majorBidi" w:cstheme="majorBidi"/>
                <w:color w:val="000000" w:themeColor="text1"/>
                <w:szCs w:val="18"/>
              </w:rPr>
              <w:t xml:space="preserve"> </w:t>
            </w:r>
            <w:proofErr w:type="spellStart"/>
            <w:r w:rsidRPr="003E5C4C">
              <w:rPr>
                <w:rFonts w:asciiTheme="majorBidi" w:eastAsia="Times New Roman" w:hAnsiTheme="majorBidi" w:cstheme="majorBidi"/>
                <w:color w:val="000000" w:themeColor="text1"/>
                <w:szCs w:val="18"/>
              </w:rPr>
              <w:t>SCh</w:t>
            </w:r>
            <w:proofErr w:type="spellEnd"/>
            <w:r w:rsidR="00653541">
              <w:rPr>
                <w:rStyle w:val="FootnoteReference"/>
                <w:rFonts w:asciiTheme="majorBidi" w:eastAsia="Times New Roman" w:hAnsiTheme="majorBidi" w:cstheme="majorBidi"/>
                <w:color w:val="000000" w:themeColor="text1"/>
                <w:szCs w:val="18"/>
              </w:rPr>
              <w:footnoteReference w:id="3"/>
            </w:r>
          </w:p>
        </w:tc>
        <w:tc>
          <w:tcPr>
            <w:tcW w:w="1206" w:type="dxa"/>
            <w:tcBorders>
              <w:top w:val="nil"/>
              <w:left w:val="nil"/>
              <w:bottom w:val="nil"/>
              <w:right w:val="nil"/>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c>
          <w:tcPr>
            <w:tcW w:w="1206" w:type="dxa"/>
            <w:tcBorders>
              <w:top w:val="nil"/>
              <w:left w:val="nil"/>
              <w:bottom w:val="nil"/>
              <w:right w:val="nil"/>
            </w:tcBorders>
            <w:shd w:val="clear" w:color="auto" w:fill="auto"/>
            <w:noWrap/>
            <w:vAlign w:val="bottom"/>
            <w:hideMark/>
          </w:tcPr>
          <w:p w:rsidR="00811985" w:rsidRPr="003E5C4C" w:rsidRDefault="00811985" w:rsidP="00DC2CA6">
            <w:pPr>
              <w:spacing w:after="0" w:line="240" w:lineRule="auto"/>
              <w:jc w:val="both"/>
              <w:rPr>
                <w:rFonts w:asciiTheme="majorBidi" w:eastAsia="Times New Roman" w:hAnsiTheme="majorBidi" w:cstheme="majorBidi"/>
                <w:color w:val="000000" w:themeColor="text1"/>
                <w:sz w:val="28"/>
              </w:rPr>
            </w:pPr>
          </w:p>
        </w:tc>
      </w:tr>
    </w:tbl>
    <w:p w:rsidR="00811985" w:rsidRPr="003E5C4C" w:rsidRDefault="00811985" w:rsidP="00811985">
      <w:pPr>
        <w:pStyle w:val="NormalWeb"/>
        <w:jc w:val="both"/>
        <w:rPr>
          <w:rStyle w:val="Strong"/>
          <w:rFonts w:asciiTheme="majorBidi" w:hAnsiTheme="majorBidi" w:cstheme="majorBidi"/>
          <w:color w:val="FF0000"/>
          <w:sz w:val="32"/>
        </w:rPr>
      </w:pPr>
    </w:p>
    <w:p w:rsidR="00811985" w:rsidRPr="003E5C4C" w:rsidRDefault="00811985">
      <w:pPr>
        <w:rPr>
          <w:rStyle w:val="Strong"/>
          <w:rFonts w:asciiTheme="majorBidi" w:eastAsia="Times New Roman" w:hAnsiTheme="majorBidi" w:cstheme="majorBidi"/>
          <w:color w:val="000000" w:themeColor="text1"/>
          <w:sz w:val="32"/>
          <w:szCs w:val="24"/>
        </w:rPr>
      </w:pPr>
      <w:r w:rsidRPr="003E5C4C">
        <w:rPr>
          <w:rStyle w:val="Strong"/>
          <w:rFonts w:asciiTheme="majorBidi" w:hAnsiTheme="majorBidi" w:cstheme="majorBidi"/>
          <w:color w:val="000000" w:themeColor="text1"/>
          <w:sz w:val="28"/>
        </w:rPr>
        <w:br w:type="page"/>
      </w:r>
    </w:p>
    <w:p w:rsidR="00145C9A" w:rsidRPr="003E5C4C" w:rsidRDefault="00811985" w:rsidP="00010C98">
      <w:pPr>
        <w:pStyle w:val="NormalWeb"/>
        <w:jc w:val="both"/>
        <w:rPr>
          <w:rStyle w:val="Strong"/>
          <w:rFonts w:asciiTheme="majorBidi" w:hAnsiTheme="majorBidi" w:cstheme="majorBidi"/>
          <w:color w:val="000000" w:themeColor="text1"/>
          <w:sz w:val="32"/>
        </w:rPr>
      </w:pPr>
      <w:r w:rsidRPr="003E5C4C">
        <w:rPr>
          <w:rStyle w:val="Strong"/>
          <w:rFonts w:asciiTheme="majorBidi" w:hAnsiTheme="majorBidi" w:cstheme="majorBidi"/>
          <w:color w:val="000000" w:themeColor="text1"/>
          <w:sz w:val="32"/>
        </w:rPr>
        <w:lastRenderedPageBreak/>
        <w:t xml:space="preserve">II. </w:t>
      </w:r>
      <w:r w:rsidR="00145C9A" w:rsidRPr="003E5C4C">
        <w:rPr>
          <w:rStyle w:val="Strong"/>
          <w:rFonts w:asciiTheme="majorBidi" w:hAnsiTheme="majorBidi" w:cstheme="majorBidi"/>
          <w:color w:val="000000" w:themeColor="text1"/>
          <w:sz w:val="32"/>
        </w:rPr>
        <w:t>Faculty Appointment and Compensation Trends</w:t>
      </w:r>
    </w:p>
    <w:p w:rsidR="00B15BE3" w:rsidRPr="003E5C4C" w:rsidRDefault="00D049B6" w:rsidP="00B15BE3">
      <w:pPr>
        <w:pStyle w:val="NormalWeb"/>
        <w:jc w:val="both"/>
        <w:rPr>
          <w:rFonts w:asciiTheme="majorBidi" w:hAnsiTheme="majorBidi" w:cstheme="majorBidi"/>
          <w:color w:val="000000" w:themeColor="text1"/>
          <w:sz w:val="32"/>
        </w:rPr>
      </w:pPr>
      <w:r w:rsidRPr="003E5C4C">
        <w:rPr>
          <w:rFonts w:asciiTheme="majorBidi" w:hAnsiTheme="majorBidi" w:cstheme="majorBidi"/>
          <w:color w:val="000000" w:themeColor="text1"/>
          <w:sz w:val="32"/>
        </w:rPr>
        <w:t xml:space="preserve">Faculty FTE decreased 3% between 2015 and 2016.  </w:t>
      </w:r>
      <w:r w:rsidR="00132C0E" w:rsidRPr="003E5C4C">
        <w:rPr>
          <w:rFonts w:asciiTheme="majorBidi" w:hAnsiTheme="majorBidi" w:cstheme="majorBidi"/>
          <w:color w:val="000000" w:themeColor="text1"/>
          <w:sz w:val="32"/>
        </w:rPr>
        <w:t xml:space="preserve">We currently have 564.3 </w:t>
      </w:r>
      <w:r w:rsidR="00B15BE3" w:rsidRPr="003E5C4C">
        <w:rPr>
          <w:rFonts w:asciiTheme="majorBidi" w:hAnsiTheme="majorBidi" w:cstheme="majorBidi"/>
          <w:color w:val="000000" w:themeColor="text1"/>
          <w:sz w:val="32"/>
        </w:rPr>
        <w:t xml:space="preserve">unadjusted </w:t>
      </w:r>
      <w:r w:rsidR="00132C0E" w:rsidRPr="003E5C4C">
        <w:rPr>
          <w:rFonts w:asciiTheme="majorBidi" w:hAnsiTheme="majorBidi" w:cstheme="majorBidi"/>
          <w:color w:val="000000" w:themeColor="text1"/>
          <w:sz w:val="32"/>
        </w:rPr>
        <w:t>FTE (Full Time Equivalent) faculty position</w:t>
      </w:r>
      <w:r w:rsidR="0063515C" w:rsidRPr="003E5C4C">
        <w:rPr>
          <w:rFonts w:asciiTheme="majorBidi" w:hAnsiTheme="majorBidi" w:cstheme="majorBidi"/>
          <w:color w:val="000000" w:themeColor="text1"/>
          <w:sz w:val="32"/>
        </w:rPr>
        <w:t xml:space="preserve">s, </w:t>
      </w:r>
      <w:r w:rsidR="00945B5B" w:rsidRPr="003E5C4C">
        <w:rPr>
          <w:rFonts w:asciiTheme="majorBidi" w:hAnsiTheme="majorBidi" w:cstheme="majorBidi"/>
          <w:color w:val="000000" w:themeColor="text1"/>
          <w:sz w:val="32"/>
        </w:rPr>
        <w:t xml:space="preserve">composed of 693 individuals.  </w:t>
      </w:r>
      <w:r w:rsidR="00B15BE3" w:rsidRPr="003E5C4C">
        <w:rPr>
          <w:rFonts w:asciiTheme="majorBidi" w:hAnsiTheme="majorBidi" w:cstheme="majorBidi"/>
          <w:color w:val="000000" w:themeColor="text1"/>
          <w:sz w:val="32"/>
        </w:rPr>
        <w:t xml:space="preserve">Once you adjust for chairs, full year sabbaticals, buyouts, and special exceptions made by the Provost, the adjusted FTE figure is </w:t>
      </w:r>
      <w:r w:rsidR="00B15BE3" w:rsidRPr="003E5C4C">
        <w:rPr>
          <w:rFonts w:asciiTheme="majorBidi" w:hAnsiTheme="majorBidi" w:cstheme="majorBidi"/>
          <w:b/>
          <w:bCs/>
          <w:color w:val="000000" w:themeColor="text1"/>
          <w:sz w:val="32"/>
        </w:rPr>
        <w:t>536.9</w:t>
      </w:r>
      <w:r w:rsidR="00B15BE3" w:rsidRPr="003E5C4C">
        <w:rPr>
          <w:rFonts w:asciiTheme="majorBidi" w:hAnsiTheme="majorBidi" w:cstheme="majorBidi"/>
          <w:color w:val="000000" w:themeColor="text1"/>
          <w:sz w:val="32"/>
        </w:rPr>
        <w:t xml:space="preserve">.  That is </w:t>
      </w:r>
      <w:r w:rsidR="00B15BE3" w:rsidRPr="003E5C4C">
        <w:rPr>
          <w:rFonts w:asciiTheme="majorBidi" w:hAnsiTheme="majorBidi" w:cstheme="majorBidi"/>
          <w:b/>
          <w:bCs/>
          <w:color w:val="000000" w:themeColor="text1"/>
          <w:sz w:val="32"/>
        </w:rPr>
        <w:t>18.1</w:t>
      </w:r>
      <w:r w:rsidR="00B15BE3" w:rsidRPr="003E5C4C">
        <w:rPr>
          <w:rFonts w:asciiTheme="majorBidi" w:hAnsiTheme="majorBidi" w:cstheme="majorBidi"/>
          <w:color w:val="000000" w:themeColor="text1"/>
          <w:sz w:val="32"/>
        </w:rPr>
        <w:t xml:space="preserve"> below the 555 adjusted FTE goal established by the President.  </w:t>
      </w:r>
    </w:p>
    <w:p w:rsidR="007B639E" w:rsidRPr="003E5C4C" w:rsidRDefault="00945B5B" w:rsidP="003E5C4C">
      <w:pPr>
        <w:pStyle w:val="NormalWeb"/>
        <w:rPr>
          <w:rFonts w:asciiTheme="majorBidi" w:hAnsiTheme="majorBidi" w:cstheme="majorBidi"/>
          <w:color w:val="000000" w:themeColor="text1"/>
          <w:sz w:val="32"/>
        </w:rPr>
      </w:pPr>
      <w:r w:rsidRPr="003E5C4C">
        <w:rPr>
          <w:rFonts w:asciiTheme="majorBidi" w:hAnsiTheme="majorBidi" w:cstheme="majorBidi"/>
          <w:color w:val="000000" w:themeColor="text1"/>
          <w:sz w:val="32"/>
        </w:rPr>
        <w:t xml:space="preserve">Of the 564.3 FTE, 378 FTE are Tenured and Tenure Track faculty (including chairs, library faculty, and other 12 month appointments).  The remaining 186.3 FTE are distributed among part time and contract faculty.  The number of Tenured and </w:t>
      </w:r>
      <w:r w:rsidR="00D049B6" w:rsidRPr="003E5C4C">
        <w:rPr>
          <w:rFonts w:asciiTheme="majorBidi" w:hAnsiTheme="majorBidi" w:cstheme="majorBidi"/>
          <w:color w:val="000000" w:themeColor="text1"/>
          <w:sz w:val="32"/>
        </w:rPr>
        <w:t xml:space="preserve">Tenure Track FTE has </w:t>
      </w:r>
      <w:r w:rsidRPr="003E5C4C">
        <w:rPr>
          <w:rFonts w:asciiTheme="majorBidi" w:hAnsiTheme="majorBidi" w:cstheme="majorBidi"/>
          <w:color w:val="000000" w:themeColor="text1"/>
          <w:sz w:val="32"/>
        </w:rPr>
        <w:t>decrea</w:t>
      </w:r>
      <w:r w:rsidR="00D049B6" w:rsidRPr="003E5C4C">
        <w:rPr>
          <w:rFonts w:asciiTheme="majorBidi" w:hAnsiTheme="majorBidi" w:cstheme="majorBidi"/>
          <w:color w:val="000000" w:themeColor="text1"/>
          <w:sz w:val="32"/>
        </w:rPr>
        <w:t>sed 2% between 2015 and 201</w:t>
      </w:r>
      <w:r w:rsidR="00B15BE3" w:rsidRPr="003E5C4C">
        <w:rPr>
          <w:rFonts w:asciiTheme="majorBidi" w:hAnsiTheme="majorBidi" w:cstheme="majorBidi"/>
          <w:color w:val="000000" w:themeColor="text1"/>
          <w:sz w:val="32"/>
        </w:rPr>
        <w:t xml:space="preserve">6, from 385.75 FTE to 378 FTE. </w:t>
      </w:r>
      <w:r w:rsidR="00D049B6" w:rsidRPr="003E5C4C">
        <w:rPr>
          <w:rFonts w:asciiTheme="majorBidi" w:hAnsiTheme="majorBidi" w:cstheme="majorBidi"/>
          <w:color w:val="000000" w:themeColor="text1"/>
          <w:sz w:val="32"/>
        </w:rPr>
        <w:t>The number of Part Time and Contract FTE has also decreased, particular</w:t>
      </w:r>
      <w:r w:rsidR="003470D1" w:rsidRPr="003E5C4C">
        <w:rPr>
          <w:rFonts w:asciiTheme="majorBidi" w:hAnsiTheme="majorBidi" w:cstheme="majorBidi"/>
          <w:color w:val="000000" w:themeColor="text1"/>
          <w:sz w:val="32"/>
        </w:rPr>
        <w:t>l</w:t>
      </w:r>
      <w:r w:rsidR="00D049B6" w:rsidRPr="003E5C4C">
        <w:rPr>
          <w:rFonts w:asciiTheme="majorBidi" w:hAnsiTheme="majorBidi" w:cstheme="majorBidi"/>
          <w:color w:val="000000" w:themeColor="text1"/>
          <w:sz w:val="32"/>
        </w:rPr>
        <w:t>y among the part time faculty with no benefits (13.2% decrease).</w:t>
      </w:r>
      <w:r w:rsidR="00653541">
        <w:rPr>
          <w:rStyle w:val="FootnoteReference"/>
          <w:rFonts w:asciiTheme="majorBidi" w:hAnsiTheme="majorBidi" w:cstheme="majorBidi"/>
          <w:color w:val="000000" w:themeColor="text1"/>
          <w:sz w:val="32"/>
        </w:rPr>
        <w:footnoteReference w:id="4"/>
      </w:r>
      <w:r w:rsidR="00D049B6" w:rsidRPr="003E5C4C">
        <w:rPr>
          <w:rFonts w:asciiTheme="majorBidi" w:hAnsiTheme="majorBidi" w:cstheme="majorBidi"/>
          <w:color w:val="000000" w:themeColor="text1"/>
          <w:sz w:val="32"/>
        </w:rPr>
        <w:t xml:space="preserve"> </w:t>
      </w:r>
      <w:r w:rsidR="007B639E" w:rsidRPr="003E5C4C">
        <w:rPr>
          <w:rFonts w:asciiTheme="majorBidi" w:hAnsiTheme="majorBidi" w:cstheme="majorBidi"/>
          <w:color w:val="000000" w:themeColor="text1"/>
          <w:sz w:val="32"/>
        </w:rPr>
        <w:t xml:space="preserve">There were 378 unadjusted FTE Faculty T&amp;TT in </w:t>
      </w:r>
      <w:proofErr w:type="gramStart"/>
      <w:r w:rsidR="007B639E" w:rsidRPr="003E5C4C">
        <w:rPr>
          <w:rFonts w:asciiTheme="majorBidi" w:hAnsiTheme="majorBidi" w:cstheme="majorBidi"/>
          <w:color w:val="000000" w:themeColor="text1"/>
          <w:sz w:val="32"/>
        </w:rPr>
        <w:t>Fall</w:t>
      </w:r>
      <w:proofErr w:type="gramEnd"/>
      <w:r w:rsidR="007B639E" w:rsidRPr="003E5C4C">
        <w:rPr>
          <w:rFonts w:asciiTheme="majorBidi" w:hAnsiTheme="majorBidi" w:cstheme="majorBidi"/>
          <w:color w:val="000000" w:themeColor="text1"/>
          <w:sz w:val="32"/>
        </w:rPr>
        <w:t xml:space="preserve"> 2016.  That figure drops to 350.8 once an adjustment is made for chairs, full year sabbaticals, grant buyouts, and special exceptions made by the Provost.</w:t>
      </w:r>
      <w:r w:rsidR="00653541">
        <w:rPr>
          <w:rStyle w:val="FootnoteReference"/>
          <w:rFonts w:asciiTheme="majorBidi" w:hAnsiTheme="majorBidi" w:cstheme="majorBidi"/>
          <w:color w:val="000000" w:themeColor="text1"/>
          <w:sz w:val="32"/>
        </w:rPr>
        <w:footnoteReference w:id="5"/>
      </w:r>
      <w:r w:rsidR="007B639E" w:rsidRPr="003E5C4C">
        <w:rPr>
          <w:rFonts w:asciiTheme="majorBidi" w:hAnsiTheme="majorBidi" w:cstheme="majorBidi"/>
          <w:color w:val="000000" w:themeColor="text1"/>
          <w:sz w:val="32"/>
        </w:rPr>
        <w:t xml:space="preserve"> The exact figures are as follows:</w:t>
      </w:r>
    </w:p>
    <w:p w:rsidR="007B639E" w:rsidRPr="003E5C4C" w:rsidRDefault="007B639E" w:rsidP="007B639E">
      <w:pPr>
        <w:pStyle w:val="ListParagraph"/>
        <w:jc w:val="both"/>
        <w:rPr>
          <w:rFonts w:asciiTheme="majorBidi" w:hAnsiTheme="majorBidi" w:cstheme="majorBidi"/>
          <w:color w:val="000000" w:themeColor="text1"/>
          <w:sz w:val="28"/>
        </w:rPr>
      </w:pPr>
      <w:r w:rsidRPr="003E5C4C">
        <w:rPr>
          <w:rFonts w:asciiTheme="majorBidi" w:hAnsiTheme="majorBidi" w:cstheme="majorBidi"/>
          <w:color w:val="000000" w:themeColor="text1"/>
          <w:sz w:val="28"/>
        </w:rPr>
        <w:tab/>
        <w:t>19.0 FTE, chairs</w:t>
      </w:r>
    </w:p>
    <w:p w:rsidR="007B639E" w:rsidRPr="003E5C4C" w:rsidRDefault="007B639E" w:rsidP="007B639E">
      <w:pPr>
        <w:pStyle w:val="ListParagraph"/>
        <w:jc w:val="both"/>
        <w:rPr>
          <w:rFonts w:asciiTheme="majorBidi" w:hAnsiTheme="majorBidi" w:cstheme="majorBidi"/>
          <w:color w:val="000000" w:themeColor="text1"/>
          <w:sz w:val="28"/>
        </w:rPr>
      </w:pPr>
      <w:r w:rsidRPr="003E5C4C">
        <w:rPr>
          <w:rFonts w:asciiTheme="majorBidi" w:hAnsiTheme="majorBidi" w:cstheme="majorBidi"/>
          <w:color w:val="000000" w:themeColor="text1"/>
          <w:sz w:val="28"/>
        </w:rPr>
        <w:tab/>
        <w:t>5.0 FTE, provost’s special exceptions</w:t>
      </w:r>
    </w:p>
    <w:p w:rsidR="007B639E" w:rsidRPr="003E5C4C" w:rsidRDefault="007B639E" w:rsidP="007B639E">
      <w:pPr>
        <w:pStyle w:val="ListParagraph"/>
        <w:jc w:val="both"/>
        <w:rPr>
          <w:rFonts w:asciiTheme="majorBidi" w:hAnsiTheme="majorBidi" w:cstheme="majorBidi"/>
          <w:color w:val="000000" w:themeColor="text1"/>
          <w:sz w:val="28"/>
        </w:rPr>
      </w:pPr>
      <w:r w:rsidRPr="003E5C4C">
        <w:rPr>
          <w:rFonts w:asciiTheme="majorBidi" w:hAnsiTheme="majorBidi" w:cstheme="majorBidi"/>
          <w:color w:val="000000" w:themeColor="text1"/>
          <w:sz w:val="28"/>
        </w:rPr>
        <w:tab/>
        <w:t>2.0 FTE, full year sabbaticals</w:t>
      </w:r>
    </w:p>
    <w:p w:rsidR="007B639E" w:rsidRPr="003E5C4C" w:rsidRDefault="007B639E" w:rsidP="007B639E">
      <w:pPr>
        <w:pStyle w:val="ListParagraph"/>
        <w:jc w:val="both"/>
        <w:rPr>
          <w:rFonts w:asciiTheme="majorBidi" w:hAnsiTheme="majorBidi" w:cstheme="majorBidi"/>
          <w:color w:val="000000" w:themeColor="text1"/>
          <w:sz w:val="28"/>
        </w:rPr>
      </w:pPr>
      <w:r w:rsidRPr="003E5C4C">
        <w:rPr>
          <w:rFonts w:asciiTheme="majorBidi" w:hAnsiTheme="majorBidi" w:cstheme="majorBidi"/>
          <w:color w:val="000000" w:themeColor="text1"/>
          <w:sz w:val="28"/>
        </w:rPr>
        <w:tab/>
        <w:t>1.</w:t>
      </w:r>
      <w:r w:rsidR="00042B46" w:rsidRPr="003E5C4C">
        <w:rPr>
          <w:rFonts w:asciiTheme="majorBidi" w:hAnsiTheme="majorBidi" w:cstheme="majorBidi"/>
          <w:color w:val="000000" w:themeColor="text1"/>
          <w:sz w:val="28"/>
        </w:rPr>
        <w:t>5</w:t>
      </w:r>
      <w:r w:rsidRPr="003E5C4C">
        <w:rPr>
          <w:rFonts w:asciiTheme="majorBidi" w:hAnsiTheme="majorBidi" w:cstheme="majorBidi"/>
          <w:color w:val="000000" w:themeColor="text1"/>
          <w:sz w:val="28"/>
        </w:rPr>
        <w:t xml:space="preserve"> FTE, grant buyouts</w:t>
      </w:r>
    </w:p>
    <w:p w:rsidR="00304AE3" w:rsidRDefault="00304AE3" w:rsidP="003E5C4C">
      <w:pPr>
        <w:pStyle w:val="NoSpacing"/>
        <w:rPr>
          <w:sz w:val="28"/>
        </w:rPr>
      </w:pPr>
    </w:p>
    <w:p w:rsidR="00132C0E" w:rsidRPr="003E5C4C" w:rsidRDefault="0016735E" w:rsidP="003E5C4C">
      <w:pPr>
        <w:pStyle w:val="NoSpacing"/>
        <w:rPr>
          <w:rFonts w:ascii="Times New Roman" w:hAnsi="Times New Roman" w:cs="Times New Roman"/>
          <w:b/>
          <w:sz w:val="28"/>
          <w:szCs w:val="28"/>
        </w:rPr>
      </w:pPr>
      <w:r w:rsidRPr="003E5C4C">
        <w:rPr>
          <w:rFonts w:ascii="Times New Roman" w:hAnsi="Times New Roman" w:cs="Times New Roman"/>
          <w:b/>
          <w:sz w:val="28"/>
          <w:szCs w:val="28"/>
        </w:rPr>
        <w:t xml:space="preserve">Figure 2: </w:t>
      </w:r>
      <w:r w:rsidR="00132C0E" w:rsidRPr="003E5C4C">
        <w:rPr>
          <w:rFonts w:ascii="Times New Roman" w:hAnsi="Times New Roman" w:cs="Times New Roman"/>
          <w:b/>
          <w:sz w:val="28"/>
          <w:szCs w:val="28"/>
        </w:rPr>
        <w:t>FTE Appointments</w:t>
      </w:r>
      <w:r w:rsidR="00653541" w:rsidRPr="003E5C4C">
        <w:rPr>
          <w:rStyle w:val="FootnoteReference"/>
          <w:rFonts w:ascii="Times New Roman" w:hAnsi="Times New Roman" w:cs="Times New Roman"/>
          <w:b/>
          <w:bCs/>
          <w:color w:val="000000" w:themeColor="text1"/>
          <w:sz w:val="28"/>
          <w:szCs w:val="28"/>
        </w:rPr>
        <w:footnoteReference w:id="6"/>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333"/>
        <w:gridCol w:w="1817"/>
        <w:gridCol w:w="1333"/>
        <w:gridCol w:w="1817"/>
      </w:tblGrid>
      <w:tr w:rsidR="00A73994" w:rsidRPr="0097536F" w:rsidTr="009F5C0F">
        <w:trPr>
          <w:trHeight w:val="319"/>
        </w:trPr>
        <w:tc>
          <w:tcPr>
            <w:tcW w:w="3075" w:type="dxa"/>
            <w:shd w:val="clear" w:color="auto" w:fill="auto"/>
            <w:noWrap/>
            <w:vAlign w:val="bottom"/>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p>
        </w:tc>
        <w:tc>
          <w:tcPr>
            <w:tcW w:w="1333" w:type="dxa"/>
            <w:vAlign w:val="bottom"/>
          </w:tcPr>
          <w:p w:rsidR="00D23BC3" w:rsidRPr="003E5C4C" w:rsidRDefault="00D23BC3" w:rsidP="00010C98">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2015</w:t>
            </w:r>
          </w:p>
        </w:tc>
        <w:tc>
          <w:tcPr>
            <w:tcW w:w="1817" w:type="dxa"/>
          </w:tcPr>
          <w:p w:rsidR="00D23BC3" w:rsidRPr="003E5C4C" w:rsidRDefault="00D23BC3" w:rsidP="00010C98">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Compensation</w:t>
            </w:r>
          </w:p>
          <w:p w:rsidR="00D23BC3" w:rsidRPr="003E5C4C" w:rsidRDefault="00D23BC3" w:rsidP="00010C98">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($1000s)</w:t>
            </w:r>
          </w:p>
        </w:tc>
        <w:tc>
          <w:tcPr>
            <w:tcW w:w="1333" w:type="dxa"/>
            <w:shd w:val="clear" w:color="000000" w:fill="FFFFFF" w:themeFill="background1"/>
            <w:vAlign w:val="bottom"/>
          </w:tcPr>
          <w:p w:rsidR="00D23BC3" w:rsidRPr="003E5C4C" w:rsidRDefault="00D23BC3" w:rsidP="00010C98">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2016</w:t>
            </w:r>
          </w:p>
        </w:tc>
        <w:tc>
          <w:tcPr>
            <w:tcW w:w="1817" w:type="dxa"/>
            <w:shd w:val="clear" w:color="000000" w:fill="FFFFFF" w:themeFill="background1"/>
          </w:tcPr>
          <w:p w:rsidR="00D23BC3" w:rsidRPr="003E5C4C" w:rsidRDefault="00D23BC3" w:rsidP="00010C98">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Compensation</w:t>
            </w:r>
          </w:p>
          <w:p w:rsidR="00D23BC3" w:rsidRPr="003E5C4C" w:rsidRDefault="00D23BC3" w:rsidP="00010C98">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($1000s)</w:t>
            </w:r>
          </w:p>
        </w:tc>
      </w:tr>
      <w:tr w:rsidR="00A73994" w:rsidRPr="0097536F" w:rsidTr="009F5C0F">
        <w:trPr>
          <w:trHeight w:val="319"/>
        </w:trPr>
        <w:tc>
          <w:tcPr>
            <w:tcW w:w="3075" w:type="dxa"/>
            <w:shd w:val="clear" w:color="auto" w:fill="auto"/>
            <w:noWrap/>
            <w:vAlign w:val="bottom"/>
            <w:hideMark/>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 xml:space="preserve">  Faculty  (T &amp; TT)</w:t>
            </w:r>
          </w:p>
        </w:tc>
        <w:tc>
          <w:tcPr>
            <w:tcW w:w="1333" w:type="dxa"/>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339.75</w:t>
            </w:r>
          </w:p>
        </w:tc>
        <w:tc>
          <w:tcPr>
            <w:tcW w:w="1817" w:type="dxa"/>
          </w:tcPr>
          <w:p w:rsidR="00D23BC3" w:rsidRPr="003E5C4C" w:rsidRDefault="00D23BC3" w:rsidP="00010C98">
            <w:pPr>
              <w:jc w:val="both"/>
              <w:rPr>
                <w:rFonts w:asciiTheme="majorBidi" w:hAnsiTheme="majorBidi" w:cstheme="majorBidi"/>
                <w:color w:val="000000" w:themeColor="text1"/>
                <w:sz w:val="24"/>
                <w:szCs w:val="20"/>
              </w:rPr>
            </w:pPr>
            <w:r w:rsidRPr="003E5C4C">
              <w:rPr>
                <w:rFonts w:asciiTheme="majorBidi" w:hAnsiTheme="majorBidi" w:cstheme="majorBidi"/>
                <w:color w:val="000000" w:themeColor="text1"/>
                <w:sz w:val="24"/>
                <w:szCs w:val="20"/>
              </w:rPr>
              <w:t>26,844</w:t>
            </w:r>
          </w:p>
        </w:tc>
        <w:tc>
          <w:tcPr>
            <w:tcW w:w="1333" w:type="dxa"/>
            <w:shd w:val="clear" w:color="000000" w:fill="FFFFFF" w:themeFill="background1"/>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327.00</w:t>
            </w:r>
          </w:p>
        </w:tc>
        <w:tc>
          <w:tcPr>
            <w:tcW w:w="1817" w:type="dxa"/>
            <w:shd w:val="clear" w:color="000000" w:fill="FFFFFF" w:themeFill="background1"/>
          </w:tcPr>
          <w:p w:rsidR="00D23BC3" w:rsidRPr="003E5C4C" w:rsidRDefault="00D23BC3" w:rsidP="00010C98">
            <w:pPr>
              <w:jc w:val="both"/>
              <w:rPr>
                <w:rFonts w:asciiTheme="majorBidi" w:hAnsiTheme="majorBidi" w:cstheme="majorBidi"/>
                <w:color w:val="000000" w:themeColor="text1"/>
                <w:sz w:val="24"/>
                <w:szCs w:val="20"/>
              </w:rPr>
            </w:pPr>
            <w:r w:rsidRPr="003E5C4C">
              <w:rPr>
                <w:rFonts w:asciiTheme="majorBidi" w:hAnsiTheme="majorBidi" w:cstheme="majorBidi"/>
                <w:color w:val="000000" w:themeColor="text1"/>
                <w:sz w:val="24"/>
                <w:szCs w:val="20"/>
              </w:rPr>
              <w:t>26,444</w:t>
            </w:r>
          </w:p>
        </w:tc>
      </w:tr>
      <w:tr w:rsidR="00A73994" w:rsidRPr="0097536F" w:rsidTr="009F5C0F">
        <w:trPr>
          <w:trHeight w:val="319"/>
        </w:trPr>
        <w:tc>
          <w:tcPr>
            <w:tcW w:w="3075" w:type="dxa"/>
            <w:shd w:val="clear" w:color="auto" w:fill="auto"/>
            <w:noWrap/>
            <w:vAlign w:val="bottom"/>
            <w:hideMark/>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 xml:space="preserve">  Fiscal</w:t>
            </w:r>
            <w:r w:rsidR="00DC5C05" w:rsidRPr="003E5C4C">
              <w:rPr>
                <w:rFonts w:asciiTheme="majorBidi" w:eastAsia="Times New Roman" w:hAnsiTheme="majorBidi" w:cstheme="majorBidi"/>
                <w:color w:val="000000" w:themeColor="text1"/>
                <w:sz w:val="24"/>
                <w:szCs w:val="20"/>
              </w:rPr>
              <w:t xml:space="preserve"> </w:t>
            </w:r>
            <w:r w:rsidRPr="003E5C4C">
              <w:rPr>
                <w:rFonts w:asciiTheme="majorBidi" w:eastAsia="Times New Roman" w:hAnsiTheme="majorBidi" w:cstheme="majorBidi"/>
                <w:color w:val="000000" w:themeColor="text1"/>
                <w:sz w:val="24"/>
                <w:szCs w:val="20"/>
              </w:rPr>
              <w:t>Faculty (T &amp; TT)</w:t>
            </w:r>
          </w:p>
          <w:p w:rsidR="00945B5B" w:rsidRPr="003E5C4C" w:rsidRDefault="00945B5B"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(12 mo. appointments)</w:t>
            </w:r>
          </w:p>
        </w:tc>
        <w:tc>
          <w:tcPr>
            <w:tcW w:w="1333" w:type="dxa"/>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46.00</w:t>
            </w:r>
          </w:p>
        </w:tc>
        <w:tc>
          <w:tcPr>
            <w:tcW w:w="1817" w:type="dxa"/>
          </w:tcPr>
          <w:p w:rsidR="00D23BC3" w:rsidRPr="003E5C4C" w:rsidRDefault="00D23BC3" w:rsidP="00010C98">
            <w:pPr>
              <w:jc w:val="both"/>
              <w:rPr>
                <w:rFonts w:asciiTheme="majorBidi" w:hAnsiTheme="majorBidi" w:cstheme="majorBidi"/>
                <w:color w:val="000000" w:themeColor="text1"/>
                <w:sz w:val="24"/>
                <w:szCs w:val="20"/>
              </w:rPr>
            </w:pPr>
            <w:r w:rsidRPr="003E5C4C">
              <w:rPr>
                <w:rFonts w:asciiTheme="majorBidi" w:hAnsiTheme="majorBidi" w:cstheme="majorBidi"/>
                <w:color w:val="000000" w:themeColor="text1"/>
                <w:sz w:val="24"/>
                <w:szCs w:val="20"/>
              </w:rPr>
              <w:t>4,106</w:t>
            </w:r>
          </w:p>
        </w:tc>
        <w:tc>
          <w:tcPr>
            <w:tcW w:w="1333" w:type="dxa"/>
            <w:shd w:val="clear" w:color="000000" w:fill="FFFFFF" w:themeFill="background1"/>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51.00</w:t>
            </w:r>
          </w:p>
        </w:tc>
        <w:tc>
          <w:tcPr>
            <w:tcW w:w="1817" w:type="dxa"/>
            <w:shd w:val="clear" w:color="000000" w:fill="FFFFFF" w:themeFill="background1"/>
          </w:tcPr>
          <w:p w:rsidR="00D23BC3" w:rsidRPr="003E5C4C" w:rsidRDefault="00D23BC3" w:rsidP="00010C98">
            <w:pPr>
              <w:jc w:val="both"/>
              <w:rPr>
                <w:rFonts w:asciiTheme="majorBidi" w:hAnsiTheme="majorBidi" w:cstheme="majorBidi"/>
                <w:color w:val="000000" w:themeColor="text1"/>
                <w:sz w:val="24"/>
                <w:szCs w:val="20"/>
              </w:rPr>
            </w:pPr>
            <w:r w:rsidRPr="003E5C4C">
              <w:rPr>
                <w:rFonts w:asciiTheme="majorBidi" w:hAnsiTheme="majorBidi" w:cstheme="majorBidi"/>
                <w:color w:val="000000" w:themeColor="text1"/>
                <w:sz w:val="24"/>
                <w:szCs w:val="20"/>
              </w:rPr>
              <w:t>4,724</w:t>
            </w:r>
          </w:p>
        </w:tc>
      </w:tr>
      <w:tr w:rsidR="00A73994" w:rsidRPr="0097536F" w:rsidTr="009F5C0F">
        <w:trPr>
          <w:trHeight w:val="319"/>
        </w:trPr>
        <w:tc>
          <w:tcPr>
            <w:tcW w:w="3075" w:type="dxa"/>
            <w:shd w:val="clear" w:color="auto" w:fill="D9D9D9" w:themeFill="background1" w:themeFillShade="D9"/>
            <w:noWrap/>
            <w:vAlign w:val="bottom"/>
            <w:hideMark/>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lastRenderedPageBreak/>
              <w:t xml:space="preserve">  All T &amp; TT Faculty</w:t>
            </w:r>
          </w:p>
        </w:tc>
        <w:tc>
          <w:tcPr>
            <w:tcW w:w="1333" w:type="dxa"/>
            <w:shd w:val="clear" w:color="auto" w:fill="D9D9D9" w:themeFill="background1" w:themeFillShade="D9"/>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385.75</w:t>
            </w:r>
          </w:p>
        </w:tc>
        <w:tc>
          <w:tcPr>
            <w:tcW w:w="1817" w:type="dxa"/>
            <w:shd w:val="clear" w:color="auto" w:fill="D9D9D9" w:themeFill="background1" w:themeFillShade="D9"/>
          </w:tcPr>
          <w:p w:rsidR="00D23BC3" w:rsidRPr="003E5C4C" w:rsidRDefault="00D23BC3" w:rsidP="00010C98">
            <w:pPr>
              <w:jc w:val="both"/>
              <w:rPr>
                <w:rFonts w:asciiTheme="majorBidi" w:hAnsiTheme="majorBidi" w:cstheme="majorBidi"/>
                <w:color w:val="000000" w:themeColor="text1"/>
                <w:sz w:val="24"/>
                <w:szCs w:val="20"/>
              </w:rPr>
            </w:pPr>
            <w:r w:rsidRPr="003E5C4C">
              <w:rPr>
                <w:rFonts w:asciiTheme="majorBidi" w:hAnsiTheme="majorBidi" w:cstheme="majorBidi"/>
                <w:color w:val="000000" w:themeColor="text1"/>
                <w:sz w:val="24"/>
                <w:szCs w:val="20"/>
              </w:rPr>
              <w:t>30,950</w:t>
            </w:r>
          </w:p>
        </w:tc>
        <w:tc>
          <w:tcPr>
            <w:tcW w:w="1333" w:type="dxa"/>
            <w:shd w:val="clear" w:color="auto" w:fill="D9D9D9" w:themeFill="background1" w:themeFillShade="D9"/>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378.00</w:t>
            </w:r>
          </w:p>
        </w:tc>
        <w:tc>
          <w:tcPr>
            <w:tcW w:w="1817" w:type="dxa"/>
            <w:shd w:val="clear" w:color="auto" w:fill="D9D9D9" w:themeFill="background1" w:themeFillShade="D9"/>
          </w:tcPr>
          <w:p w:rsidR="00D23BC3" w:rsidRPr="003E5C4C" w:rsidRDefault="00D23BC3" w:rsidP="00010C98">
            <w:pPr>
              <w:jc w:val="both"/>
              <w:rPr>
                <w:rFonts w:asciiTheme="majorBidi" w:hAnsiTheme="majorBidi" w:cstheme="majorBidi"/>
                <w:color w:val="000000" w:themeColor="text1"/>
                <w:sz w:val="24"/>
                <w:szCs w:val="20"/>
              </w:rPr>
            </w:pPr>
            <w:r w:rsidRPr="003E5C4C">
              <w:rPr>
                <w:rFonts w:asciiTheme="majorBidi" w:hAnsiTheme="majorBidi" w:cstheme="majorBidi"/>
                <w:color w:val="000000" w:themeColor="text1"/>
                <w:sz w:val="24"/>
                <w:szCs w:val="20"/>
              </w:rPr>
              <w:t>31,168</w:t>
            </w:r>
          </w:p>
        </w:tc>
      </w:tr>
      <w:tr w:rsidR="00A73994" w:rsidRPr="0097536F" w:rsidTr="009F5C0F">
        <w:trPr>
          <w:trHeight w:val="319"/>
        </w:trPr>
        <w:tc>
          <w:tcPr>
            <w:tcW w:w="3075" w:type="dxa"/>
            <w:shd w:val="clear" w:color="auto" w:fill="auto"/>
            <w:noWrap/>
            <w:vAlign w:val="bottom"/>
            <w:hideMark/>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 xml:space="preserve">  Faculty - PT, no bens</w:t>
            </w:r>
          </w:p>
        </w:tc>
        <w:tc>
          <w:tcPr>
            <w:tcW w:w="1333" w:type="dxa"/>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59.1</w:t>
            </w:r>
          </w:p>
        </w:tc>
        <w:tc>
          <w:tcPr>
            <w:tcW w:w="1817" w:type="dxa"/>
          </w:tcPr>
          <w:p w:rsidR="00D23BC3" w:rsidRPr="003E5C4C" w:rsidRDefault="00D23BC3" w:rsidP="00010C98">
            <w:pPr>
              <w:jc w:val="both"/>
              <w:rPr>
                <w:rFonts w:asciiTheme="majorBidi" w:hAnsiTheme="majorBidi" w:cstheme="majorBidi"/>
                <w:color w:val="000000" w:themeColor="text1"/>
                <w:sz w:val="24"/>
                <w:szCs w:val="20"/>
              </w:rPr>
            </w:pPr>
            <w:r w:rsidRPr="003E5C4C">
              <w:rPr>
                <w:rFonts w:asciiTheme="majorBidi" w:hAnsiTheme="majorBidi" w:cstheme="majorBidi"/>
                <w:color w:val="000000" w:themeColor="text1"/>
                <w:sz w:val="24"/>
                <w:szCs w:val="20"/>
              </w:rPr>
              <w:t>1,428</w:t>
            </w:r>
          </w:p>
        </w:tc>
        <w:tc>
          <w:tcPr>
            <w:tcW w:w="1333" w:type="dxa"/>
            <w:shd w:val="clear" w:color="000000" w:fill="FFFFFF" w:themeFill="background1"/>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51.3</w:t>
            </w:r>
          </w:p>
        </w:tc>
        <w:tc>
          <w:tcPr>
            <w:tcW w:w="1817" w:type="dxa"/>
            <w:shd w:val="clear" w:color="000000" w:fill="FFFFFF" w:themeFill="background1"/>
          </w:tcPr>
          <w:p w:rsidR="00D23BC3" w:rsidRPr="003E5C4C" w:rsidRDefault="00D23BC3" w:rsidP="00010C98">
            <w:pPr>
              <w:jc w:val="both"/>
              <w:rPr>
                <w:rFonts w:asciiTheme="majorBidi" w:hAnsiTheme="majorBidi" w:cstheme="majorBidi"/>
                <w:color w:val="000000" w:themeColor="text1"/>
                <w:sz w:val="24"/>
                <w:szCs w:val="20"/>
              </w:rPr>
            </w:pPr>
            <w:r w:rsidRPr="003E5C4C">
              <w:rPr>
                <w:rFonts w:asciiTheme="majorBidi" w:hAnsiTheme="majorBidi" w:cstheme="majorBidi"/>
                <w:color w:val="000000" w:themeColor="text1"/>
                <w:sz w:val="24"/>
                <w:szCs w:val="20"/>
              </w:rPr>
              <w:t>1,310</w:t>
            </w:r>
          </w:p>
        </w:tc>
      </w:tr>
      <w:tr w:rsidR="00A73994" w:rsidRPr="0097536F" w:rsidTr="009F5C0F">
        <w:trPr>
          <w:trHeight w:val="319"/>
        </w:trPr>
        <w:tc>
          <w:tcPr>
            <w:tcW w:w="3075" w:type="dxa"/>
            <w:shd w:val="clear" w:color="auto" w:fill="auto"/>
            <w:noWrap/>
            <w:vAlign w:val="bottom"/>
            <w:hideMark/>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 xml:space="preserve">  Contract Faculty</w:t>
            </w:r>
            <w:r w:rsidR="00132C0E" w:rsidRPr="003E5C4C">
              <w:rPr>
                <w:rFonts w:asciiTheme="majorBidi" w:eastAsia="Times New Roman" w:hAnsiTheme="majorBidi" w:cstheme="majorBidi"/>
                <w:color w:val="000000" w:themeColor="text1"/>
                <w:sz w:val="24"/>
                <w:szCs w:val="20"/>
              </w:rPr>
              <w:t xml:space="preserve"> (includes one-year faculty)</w:t>
            </w:r>
          </w:p>
        </w:tc>
        <w:tc>
          <w:tcPr>
            <w:tcW w:w="1333" w:type="dxa"/>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137.0</w:t>
            </w:r>
          </w:p>
        </w:tc>
        <w:tc>
          <w:tcPr>
            <w:tcW w:w="1817" w:type="dxa"/>
          </w:tcPr>
          <w:p w:rsidR="00D23BC3" w:rsidRPr="003E5C4C" w:rsidRDefault="00132C0E" w:rsidP="00010C98">
            <w:pPr>
              <w:jc w:val="both"/>
              <w:rPr>
                <w:rFonts w:asciiTheme="majorBidi" w:hAnsiTheme="majorBidi" w:cstheme="majorBidi"/>
                <w:color w:val="000000" w:themeColor="text1"/>
                <w:sz w:val="24"/>
                <w:szCs w:val="20"/>
              </w:rPr>
            </w:pPr>
            <w:r w:rsidRPr="003E5C4C">
              <w:rPr>
                <w:rFonts w:asciiTheme="majorBidi" w:hAnsiTheme="majorBidi" w:cstheme="majorBidi"/>
                <w:color w:val="000000" w:themeColor="text1"/>
                <w:sz w:val="24"/>
                <w:szCs w:val="20"/>
              </w:rPr>
              <w:t>6,309</w:t>
            </w:r>
          </w:p>
        </w:tc>
        <w:tc>
          <w:tcPr>
            <w:tcW w:w="1333" w:type="dxa"/>
            <w:shd w:val="clear" w:color="000000" w:fill="FFFFFF" w:themeFill="background1"/>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135.0</w:t>
            </w:r>
          </w:p>
        </w:tc>
        <w:tc>
          <w:tcPr>
            <w:tcW w:w="1817" w:type="dxa"/>
            <w:shd w:val="clear" w:color="000000" w:fill="FFFFFF" w:themeFill="background1"/>
          </w:tcPr>
          <w:p w:rsidR="00D23BC3" w:rsidRPr="003E5C4C" w:rsidRDefault="00132C0E" w:rsidP="00010C98">
            <w:pPr>
              <w:jc w:val="both"/>
              <w:rPr>
                <w:rFonts w:asciiTheme="majorBidi" w:hAnsiTheme="majorBidi" w:cstheme="majorBidi"/>
                <w:color w:val="000000" w:themeColor="text1"/>
                <w:sz w:val="24"/>
                <w:szCs w:val="20"/>
              </w:rPr>
            </w:pPr>
            <w:r w:rsidRPr="003E5C4C">
              <w:rPr>
                <w:rFonts w:asciiTheme="majorBidi" w:hAnsiTheme="majorBidi" w:cstheme="majorBidi"/>
                <w:color w:val="000000" w:themeColor="text1"/>
                <w:sz w:val="24"/>
                <w:szCs w:val="20"/>
              </w:rPr>
              <w:t>6,446</w:t>
            </w:r>
          </w:p>
        </w:tc>
      </w:tr>
      <w:tr w:rsidR="00A73994" w:rsidRPr="0097536F" w:rsidTr="009F5C0F">
        <w:trPr>
          <w:trHeight w:val="319"/>
        </w:trPr>
        <w:tc>
          <w:tcPr>
            <w:tcW w:w="3075" w:type="dxa"/>
            <w:shd w:val="clear" w:color="auto" w:fill="D9D9D9" w:themeFill="background1" w:themeFillShade="D9"/>
            <w:noWrap/>
            <w:vAlign w:val="bottom"/>
            <w:hideMark/>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 xml:space="preserve">Total Faculty </w:t>
            </w:r>
          </w:p>
        </w:tc>
        <w:tc>
          <w:tcPr>
            <w:tcW w:w="1333" w:type="dxa"/>
            <w:shd w:val="clear" w:color="auto" w:fill="D9D9D9" w:themeFill="background1" w:themeFillShade="D9"/>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581.9</w:t>
            </w:r>
          </w:p>
        </w:tc>
        <w:tc>
          <w:tcPr>
            <w:tcW w:w="1817" w:type="dxa"/>
            <w:shd w:val="clear" w:color="auto" w:fill="D9D9D9" w:themeFill="background1" w:themeFillShade="D9"/>
          </w:tcPr>
          <w:p w:rsidR="00D23BC3" w:rsidRPr="003E5C4C" w:rsidRDefault="00132C0E" w:rsidP="00010C98">
            <w:pPr>
              <w:jc w:val="both"/>
              <w:rPr>
                <w:rFonts w:asciiTheme="majorBidi" w:hAnsiTheme="majorBidi" w:cstheme="majorBidi"/>
                <w:color w:val="000000" w:themeColor="text1"/>
                <w:sz w:val="24"/>
                <w:szCs w:val="20"/>
              </w:rPr>
            </w:pPr>
            <w:r w:rsidRPr="003E5C4C">
              <w:rPr>
                <w:rFonts w:asciiTheme="majorBidi" w:hAnsiTheme="majorBidi" w:cstheme="majorBidi"/>
                <w:color w:val="000000" w:themeColor="text1"/>
                <w:sz w:val="24"/>
                <w:szCs w:val="20"/>
              </w:rPr>
              <w:t>38,687</w:t>
            </w:r>
          </w:p>
        </w:tc>
        <w:tc>
          <w:tcPr>
            <w:tcW w:w="1333" w:type="dxa"/>
            <w:shd w:val="clear" w:color="auto" w:fill="D9D9D9" w:themeFill="background1" w:themeFillShade="D9"/>
          </w:tcPr>
          <w:p w:rsidR="00D23BC3" w:rsidRPr="003E5C4C" w:rsidRDefault="00D23BC3" w:rsidP="00010C98">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564.3</w:t>
            </w:r>
          </w:p>
        </w:tc>
        <w:tc>
          <w:tcPr>
            <w:tcW w:w="1817" w:type="dxa"/>
            <w:shd w:val="clear" w:color="auto" w:fill="D9D9D9" w:themeFill="background1" w:themeFillShade="D9"/>
          </w:tcPr>
          <w:p w:rsidR="00D23BC3" w:rsidRPr="003E5C4C" w:rsidRDefault="00132C0E" w:rsidP="00010C98">
            <w:pPr>
              <w:jc w:val="both"/>
              <w:rPr>
                <w:rFonts w:asciiTheme="majorBidi" w:hAnsiTheme="majorBidi" w:cstheme="majorBidi"/>
                <w:color w:val="000000" w:themeColor="text1"/>
                <w:sz w:val="24"/>
                <w:szCs w:val="20"/>
              </w:rPr>
            </w:pPr>
            <w:r w:rsidRPr="003E5C4C">
              <w:rPr>
                <w:rFonts w:asciiTheme="majorBidi" w:hAnsiTheme="majorBidi" w:cstheme="majorBidi"/>
                <w:color w:val="000000" w:themeColor="text1"/>
                <w:sz w:val="24"/>
                <w:szCs w:val="20"/>
              </w:rPr>
              <w:t>38,924</w:t>
            </w:r>
          </w:p>
        </w:tc>
      </w:tr>
    </w:tbl>
    <w:p w:rsidR="00D23BC3" w:rsidRPr="003E5C4C" w:rsidRDefault="00D23BC3" w:rsidP="00010C98">
      <w:pPr>
        <w:pStyle w:val="NormalWeb"/>
        <w:jc w:val="both"/>
        <w:rPr>
          <w:rFonts w:asciiTheme="majorBidi" w:hAnsiTheme="majorBidi" w:cstheme="majorBidi"/>
          <w:color w:val="000000" w:themeColor="text1"/>
          <w:sz w:val="32"/>
        </w:rPr>
      </w:pPr>
    </w:p>
    <w:p w:rsidR="00304AE3" w:rsidRDefault="00F5293C">
      <w:pPr>
        <w:pStyle w:val="NormalWeb"/>
        <w:jc w:val="both"/>
        <w:rPr>
          <w:rFonts w:asciiTheme="majorBidi" w:hAnsiTheme="majorBidi" w:cstheme="majorBidi"/>
          <w:color w:val="000000" w:themeColor="text1"/>
          <w:sz w:val="32"/>
        </w:rPr>
      </w:pPr>
      <w:r w:rsidRPr="003E5C4C">
        <w:rPr>
          <w:rFonts w:asciiTheme="majorBidi" w:hAnsiTheme="majorBidi" w:cstheme="majorBidi"/>
          <w:color w:val="000000" w:themeColor="text1"/>
          <w:sz w:val="32"/>
        </w:rPr>
        <w:t>Over the past ten years, there has been a clear decline in Tenure Track Faculty FTE.  This is true both in absolute terms and relative to non-Tenure Track faculty as shown in Figure 3 below.  This is particularly troubling given the growth in the student population</w:t>
      </w:r>
      <w:r w:rsidR="00304AE3">
        <w:rPr>
          <w:rFonts w:asciiTheme="majorBidi" w:hAnsiTheme="majorBidi" w:cstheme="majorBidi"/>
          <w:color w:val="000000" w:themeColor="text1"/>
          <w:sz w:val="32"/>
        </w:rPr>
        <w:t xml:space="preserve"> from 12,114 students in 2012 to 13,565 students in 2016</w:t>
      </w:r>
      <w:r w:rsidR="00304AE3">
        <w:rPr>
          <w:rStyle w:val="FootnoteReference"/>
          <w:rFonts w:asciiTheme="majorBidi" w:hAnsiTheme="majorBidi" w:cstheme="majorBidi"/>
          <w:color w:val="000000" w:themeColor="text1"/>
          <w:sz w:val="32"/>
        </w:rPr>
        <w:footnoteReference w:id="7"/>
      </w:r>
      <w:r w:rsidR="00304AE3">
        <w:rPr>
          <w:rFonts w:asciiTheme="majorBidi" w:hAnsiTheme="majorBidi" w:cstheme="majorBidi"/>
          <w:color w:val="000000" w:themeColor="text1"/>
          <w:sz w:val="32"/>
        </w:rPr>
        <w:t>.</w:t>
      </w:r>
      <w:r w:rsidR="00464DB0" w:rsidRPr="003E5C4C">
        <w:rPr>
          <w:rFonts w:asciiTheme="majorBidi" w:hAnsiTheme="majorBidi" w:cstheme="majorBidi"/>
          <w:color w:val="000000" w:themeColor="text1"/>
          <w:sz w:val="32"/>
        </w:rPr>
        <w:t xml:space="preserve">  </w:t>
      </w:r>
    </w:p>
    <w:p w:rsidR="00A73994" w:rsidRPr="003E5C4C" w:rsidRDefault="00A73994">
      <w:pPr>
        <w:pStyle w:val="NormalWeb"/>
        <w:jc w:val="both"/>
        <w:rPr>
          <w:rFonts w:asciiTheme="majorBidi" w:hAnsiTheme="majorBidi" w:cstheme="majorBidi"/>
          <w:color w:val="000000" w:themeColor="text1"/>
          <w:sz w:val="32"/>
        </w:rPr>
      </w:pPr>
    </w:p>
    <w:p w:rsidR="00D63956" w:rsidRPr="003E5C4C" w:rsidRDefault="00F5293C" w:rsidP="003E5C4C">
      <w:pPr>
        <w:pStyle w:val="NoSpacing"/>
        <w:rPr>
          <w:rFonts w:asciiTheme="majorBidi" w:hAnsiTheme="majorBidi" w:cstheme="majorBidi"/>
          <w:color w:val="FF0000"/>
          <w:sz w:val="32"/>
        </w:rPr>
      </w:pPr>
      <w:r w:rsidRPr="003E5C4C">
        <w:rPr>
          <w:rFonts w:ascii="Times New Roman" w:hAnsi="Times New Roman" w:cs="Times New Roman"/>
          <w:b/>
          <w:sz w:val="28"/>
          <w:szCs w:val="28"/>
        </w:rPr>
        <w:t>Figure 3: Trends of TT vs. Non TT Faculty over 10 years</w:t>
      </w:r>
      <w:r w:rsidR="00D63956" w:rsidRPr="003E5C4C">
        <w:rPr>
          <w:noProof/>
          <w:sz w:val="32"/>
        </w:rPr>
        <w:drawing>
          <wp:inline distT="0" distB="0" distL="0" distR="0" wp14:anchorId="7EC985F6" wp14:editId="142538D6">
            <wp:extent cx="4305300" cy="25431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3956" w:rsidRPr="003E5C4C" w:rsidRDefault="00D63956" w:rsidP="00D63956">
      <w:pPr>
        <w:pStyle w:val="NormalWeb"/>
        <w:jc w:val="both"/>
        <w:rPr>
          <w:rFonts w:asciiTheme="majorBidi" w:hAnsiTheme="majorBidi" w:cstheme="majorBidi"/>
          <w:color w:val="000000" w:themeColor="text1"/>
          <w:sz w:val="32"/>
        </w:rPr>
      </w:pPr>
    </w:p>
    <w:p w:rsidR="00464DB0" w:rsidRPr="003E5C4C" w:rsidRDefault="007B639E" w:rsidP="00D63956">
      <w:pPr>
        <w:pStyle w:val="NormalWeb"/>
        <w:jc w:val="both"/>
        <w:rPr>
          <w:rFonts w:asciiTheme="majorBidi" w:hAnsiTheme="majorBidi" w:cstheme="majorBidi"/>
          <w:color w:val="000000" w:themeColor="text1"/>
          <w:sz w:val="32"/>
        </w:rPr>
      </w:pPr>
      <w:r w:rsidRPr="003E5C4C">
        <w:rPr>
          <w:rFonts w:asciiTheme="majorBidi" w:hAnsiTheme="majorBidi" w:cstheme="majorBidi"/>
          <w:color w:val="000000" w:themeColor="text1"/>
          <w:sz w:val="32"/>
        </w:rPr>
        <w:t xml:space="preserve">Compensation varies widely across campus, and the totals and averages produced in the data provided by the university do not account for enormous variations by rank, discipline, and role.  Although the FTE </w:t>
      </w:r>
      <w:r w:rsidRPr="003E5C4C">
        <w:rPr>
          <w:rFonts w:asciiTheme="majorBidi" w:hAnsiTheme="majorBidi" w:cstheme="majorBidi"/>
          <w:color w:val="000000" w:themeColor="text1"/>
          <w:sz w:val="32"/>
        </w:rPr>
        <w:lastRenderedPageBreak/>
        <w:t>numbers for faculty have decreased 3% across campus, the overall compensation remained steady (0.6% increase).  Compensation figures do not include health care and benefits, nor do they account for the heavy increase in the cost of premiums which are particularly burdensome for the lowest paid faculty.</w:t>
      </w:r>
      <w:r w:rsidR="00464DB0" w:rsidRPr="003E5C4C">
        <w:rPr>
          <w:rFonts w:asciiTheme="majorBidi" w:hAnsiTheme="majorBidi" w:cstheme="majorBidi"/>
          <w:color w:val="000000" w:themeColor="text1"/>
          <w:sz w:val="32"/>
        </w:rPr>
        <w:t xml:space="preserve">  </w:t>
      </w:r>
    </w:p>
    <w:p w:rsidR="008F6E90" w:rsidRPr="003E5C4C" w:rsidRDefault="00464DB0">
      <w:pPr>
        <w:pStyle w:val="NormalWeb"/>
        <w:jc w:val="both"/>
        <w:rPr>
          <w:rFonts w:asciiTheme="majorBidi" w:hAnsiTheme="majorBidi" w:cstheme="majorBidi"/>
          <w:color w:val="000000" w:themeColor="text1"/>
          <w:sz w:val="32"/>
        </w:rPr>
      </w:pPr>
      <w:r w:rsidRPr="003E5C4C">
        <w:rPr>
          <w:rFonts w:asciiTheme="majorBidi" w:hAnsiTheme="majorBidi" w:cstheme="majorBidi"/>
          <w:color w:val="000000" w:themeColor="text1"/>
          <w:sz w:val="32"/>
        </w:rPr>
        <w:t>In short, th</w:t>
      </w:r>
      <w:r w:rsidR="00536430">
        <w:rPr>
          <w:rFonts w:asciiTheme="majorBidi" w:hAnsiTheme="majorBidi" w:cstheme="majorBidi"/>
          <w:color w:val="000000" w:themeColor="text1"/>
          <w:sz w:val="32"/>
        </w:rPr>
        <w:t>e</w:t>
      </w:r>
      <w:r w:rsidRPr="003E5C4C">
        <w:rPr>
          <w:rFonts w:asciiTheme="majorBidi" w:hAnsiTheme="majorBidi" w:cstheme="majorBidi"/>
          <w:color w:val="000000" w:themeColor="text1"/>
          <w:sz w:val="32"/>
        </w:rPr>
        <w:t>s</w:t>
      </w:r>
      <w:r w:rsidR="00536430">
        <w:rPr>
          <w:rFonts w:asciiTheme="majorBidi" w:hAnsiTheme="majorBidi" w:cstheme="majorBidi"/>
          <w:color w:val="000000" w:themeColor="text1"/>
          <w:sz w:val="32"/>
        </w:rPr>
        <w:t>e</w:t>
      </w:r>
      <w:r w:rsidRPr="003E5C4C">
        <w:rPr>
          <w:rFonts w:asciiTheme="majorBidi" w:hAnsiTheme="majorBidi" w:cstheme="majorBidi"/>
          <w:color w:val="000000" w:themeColor="text1"/>
          <w:sz w:val="32"/>
        </w:rPr>
        <w:t xml:space="preserve"> data confirm a general trend explored in Part III of this report, towards a centralization of resources around the administration and a declining commitment to hiring, retaining, and appropriately compensating tenure-track faculty.</w:t>
      </w:r>
    </w:p>
    <w:p w:rsidR="00811985" w:rsidRPr="003E5C4C" w:rsidRDefault="00811985" w:rsidP="00D63956">
      <w:pPr>
        <w:pStyle w:val="NormalWeb"/>
        <w:jc w:val="both"/>
        <w:rPr>
          <w:rStyle w:val="Strong"/>
          <w:rFonts w:asciiTheme="majorBidi" w:hAnsiTheme="majorBidi" w:cstheme="majorBidi"/>
          <w:b w:val="0"/>
          <w:bCs w:val="0"/>
          <w:color w:val="000000" w:themeColor="text1"/>
          <w:sz w:val="32"/>
        </w:rPr>
      </w:pPr>
    </w:p>
    <w:p w:rsidR="00811985" w:rsidRPr="003E5C4C" w:rsidRDefault="00811985">
      <w:pPr>
        <w:rPr>
          <w:rStyle w:val="Strong"/>
          <w:rFonts w:asciiTheme="majorBidi" w:eastAsia="Times New Roman" w:hAnsiTheme="majorBidi" w:cstheme="majorBidi"/>
          <w:color w:val="000000" w:themeColor="text1"/>
          <w:sz w:val="32"/>
          <w:szCs w:val="24"/>
        </w:rPr>
      </w:pPr>
      <w:r w:rsidRPr="003E5C4C">
        <w:rPr>
          <w:rStyle w:val="Strong"/>
          <w:rFonts w:asciiTheme="majorBidi" w:hAnsiTheme="majorBidi" w:cstheme="majorBidi"/>
          <w:color w:val="000000" w:themeColor="text1"/>
          <w:sz w:val="28"/>
        </w:rPr>
        <w:br w:type="page"/>
      </w:r>
    </w:p>
    <w:p w:rsidR="008C7F7A" w:rsidRPr="003E5C4C" w:rsidRDefault="00145C9A" w:rsidP="008C7F7A">
      <w:pPr>
        <w:pStyle w:val="NormalWeb"/>
        <w:jc w:val="both"/>
        <w:rPr>
          <w:rStyle w:val="Strong"/>
          <w:rFonts w:asciiTheme="majorBidi" w:hAnsiTheme="majorBidi" w:cstheme="majorBidi"/>
          <w:color w:val="000000" w:themeColor="text1"/>
          <w:sz w:val="32"/>
        </w:rPr>
      </w:pPr>
      <w:r w:rsidRPr="003E5C4C">
        <w:rPr>
          <w:rStyle w:val="Strong"/>
          <w:rFonts w:asciiTheme="majorBidi" w:hAnsiTheme="majorBidi" w:cstheme="majorBidi"/>
          <w:color w:val="000000" w:themeColor="text1"/>
          <w:sz w:val="32"/>
        </w:rPr>
        <w:lastRenderedPageBreak/>
        <w:t>II</w:t>
      </w:r>
      <w:r w:rsidR="00811985" w:rsidRPr="003E5C4C">
        <w:rPr>
          <w:rStyle w:val="Strong"/>
          <w:rFonts w:asciiTheme="majorBidi" w:hAnsiTheme="majorBidi" w:cstheme="majorBidi"/>
          <w:color w:val="000000" w:themeColor="text1"/>
          <w:sz w:val="32"/>
        </w:rPr>
        <w:t>I</w:t>
      </w:r>
      <w:r w:rsidRPr="003E5C4C">
        <w:rPr>
          <w:rStyle w:val="Strong"/>
          <w:rFonts w:asciiTheme="majorBidi" w:hAnsiTheme="majorBidi" w:cstheme="majorBidi"/>
          <w:color w:val="000000" w:themeColor="text1"/>
          <w:sz w:val="32"/>
        </w:rPr>
        <w:t xml:space="preserve">. </w:t>
      </w:r>
      <w:r w:rsidR="008C7F7A" w:rsidRPr="003E5C4C">
        <w:rPr>
          <w:rStyle w:val="Strong"/>
          <w:rFonts w:asciiTheme="majorBidi" w:hAnsiTheme="majorBidi" w:cstheme="majorBidi"/>
          <w:color w:val="000000" w:themeColor="text1"/>
          <w:sz w:val="32"/>
        </w:rPr>
        <w:t>Administrative and Executive Hiring and Compensation Trends</w:t>
      </w:r>
    </w:p>
    <w:p w:rsidR="008C7F7A" w:rsidRPr="003E5C4C" w:rsidRDefault="008C7F7A" w:rsidP="008C7F7A">
      <w:pPr>
        <w:pStyle w:val="NormalWeb"/>
        <w:jc w:val="both"/>
        <w:rPr>
          <w:rStyle w:val="Strong"/>
          <w:rFonts w:asciiTheme="majorBidi" w:hAnsiTheme="majorBidi" w:cstheme="majorBidi"/>
          <w:b w:val="0"/>
          <w:bCs w:val="0"/>
          <w:color w:val="000000" w:themeColor="text1"/>
          <w:sz w:val="32"/>
        </w:rPr>
      </w:pPr>
      <w:r w:rsidRPr="003E5C4C">
        <w:rPr>
          <w:rStyle w:val="Strong"/>
          <w:rFonts w:asciiTheme="majorBidi" w:hAnsiTheme="majorBidi" w:cstheme="majorBidi"/>
          <w:b w:val="0"/>
          <w:bCs w:val="0"/>
          <w:color w:val="000000" w:themeColor="text1"/>
          <w:sz w:val="32"/>
        </w:rPr>
        <w:t xml:space="preserve">In contrast to faculty hiring and compensation patterns, the number of executive, administrative, and professional positions sharply rose between 2015 and 2016.  499.8 positions at </w:t>
      </w:r>
      <w:r w:rsidR="00824EB7" w:rsidRPr="003E5C4C">
        <w:rPr>
          <w:rStyle w:val="Strong"/>
          <w:rFonts w:asciiTheme="majorBidi" w:hAnsiTheme="majorBidi" w:cstheme="majorBidi"/>
          <w:b w:val="0"/>
          <w:bCs w:val="0"/>
          <w:color w:val="000000" w:themeColor="text1"/>
          <w:sz w:val="32"/>
        </w:rPr>
        <w:t>$</w:t>
      </w:r>
      <w:r w:rsidRPr="003E5C4C">
        <w:rPr>
          <w:rStyle w:val="Strong"/>
          <w:rFonts w:asciiTheme="majorBidi" w:hAnsiTheme="majorBidi" w:cstheme="majorBidi"/>
          <w:b w:val="0"/>
          <w:bCs w:val="0"/>
          <w:color w:val="000000" w:themeColor="text1"/>
          <w:sz w:val="32"/>
        </w:rPr>
        <w:t xml:space="preserve">30.9 million in compensation rose to 532.9 (+33.1) positions with </w:t>
      </w:r>
      <w:r w:rsidR="00824EB7" w:rsidRPr="003E5C4C">
        <w:rPr>
          <w:rStyle w:val="Strong"/>
          <w:rFonts w:asciiTheme="majorBidi" w:hAnsiTheme="majorBidi" w:cstheme="majorBidi"/>
          <w:b w:val="0"/>
          <w:bCs w:val="0"/>
          <w:color w:val="000000" w:themeColor="text1"/>
          <w:sz w:val="32"/>
        </w:rPr>
        <w:t>$</w:t>
      </w:r>
      <w:r w:rsidRPr="003E5C4C">
        <w:rPr>
          <w:rStyle w:val="Strong"/>
          <w:rFonts w:asciiTheme="majorBidi" w:hAnsiTheme="majorBidi" w:cstheme="majorBidi"/>
          <w:b w:val="0"/>
          <w:bCs w:val="0"/>
          <w:color w:val="000000" w:themeColor="text1"/>
          <w:sz w:val="32"/>
        </w:rPr>
        <w:t>33.4 million (+2.5 million) in compensation.</w:t>
      </w:r>
      <w:r w:rsidR="00653541">
        <w:rPr>
          <w:rStyle w:val="FootnoteReference"/>
          <w:rFonts w:asciiTheme="majorBidi" w:hAnsiTheme="majorBidi" w:cstheme="majorBidi"/>
          <w:color w:val="000000" w:themeColor="text1"/>
          <w:sz w:val="32"/>
        </w:rPr>
        <w:footnoteReference w:id="8"/>
      </w:r>
      <w:r w:rsidR="00B8436C" w:rsidRPr="003E5C4C">
        <w:rPr>
          <w:rStyle w:val="Strong"/>
          <w:rFonts w:asciiTheme="majorBidi" w:hAnsiTheme="majorBidi" w:cstheme="majorBidi"/>
          <w:b w:val="0"/>
          <w:bCs w:val="0"/>
          <w:color w:val="000000" w:themeColor="text1"/>
          <w:sz w:val="32"/>
        </w:rPr>
        <w:t xml:space="preserve"> There was a</w:t>
      </w:r>
      <w:r w:rsidRPr="003E5C4C">
        <w:rPr>
          <w:rStyle w:val="Strong"/>
          <w:rFonts w:asciiTheme="majorBidi" w:hAnsiTheme="majorBidi" w:cstheme="majorBidi"/>
          <w:b w:val="0"/>
          <w:bCs w:val="0"/>
          <w:color w:val="000000" w:themeColor="text1"/>
          <w:sz w:val="32"/>
        </w:rPr>
        <w:t xml:space="preserve"> 6.6% rise in </w:t>
      </w:r>
      <w:r w:rsidR="00B8436C" w:rsidRPr="003E5C4C">
        <w:rPr>
          <w:rStyle w:val="Strong"/>
          <w:rFonts w:asciiTheme="majorBidi" w:hAnsiTheme="majorBidi" w:cstheme="majorBidi"/>
          <w:b w:val="0"/>
          <w:bCs w:val="0"/>
          <w:color w:val="000000" w:themeColor="text1"/>
          <w:sz w:val="32"/>
        </w:rPr>
        <w:t xml:space="preserve">the </w:t>
      </w:r>
      <w:r w:rsidRPr="003E5C4C">
        <w:rPr>
          <w:rStyle w:val="Strong"/>
          <w:rFonts w:asciiTheme="majorBidi" w:hAnsiTheme="majorBidi" w:cstheme="majorBidi"/>
          <w:b w:val="0"/>
          <w:bCs w:val="0"/>
          <w:color w:val="000000" w:themeColor="text1"/>
          <w:sz w:val="32"/>
        </w:rPr>
        <w:t xml:space="preserve">number of full time positions, and </w:t>
      </w:r>
      <w:r w:rsidR="00B8436C" w:rsidRPr="003E5C4C">
        <w:rPr>
          <w:rStyle w:val="Strong"/>
          <w:rFonts w:asciiTheme="majorBidi" w:hAnsiTheme="majorBidi" w:cstheme="majorBidi"/>
          <w:b w:val="0"/>
          <w:bCs w:val="0"/>
          <w:color w:val="000000" w:themeColor="text1"/>
          <w:sz w:val="32"/>
        </w:rPr>
        <w:t xml:space="preserve">an </w:t>
      </w:r>
      <w:r w:rsidRPr="003E5C4C">
        <w:rPr>
          <w:rStyle w:val="Strong"/>
          <w:rFonts w:asciiTheme="majorBidi" w:hAnsiTheme="majorBidi" w:cstheme="majorBidi"/>
          <w:b w:val="0"/>
          <w:bCs w:val="0"/>
          <w:color w:val="000000" w:themeColor="text1"/>
          <w:sz w:val="32"/>
        </w:rPr>
        <w:t>8.2% increase in total compensation.</w:t>
      </w:r>
      <w:r w:rsidR="00653541">
        <w:rPr>
          <w:rStyle w:val="FootnoteReference"/>
          <w:rFonts w:asciiTheme="majorBidi" w:hAnsiTheme="majorBidi" w:cstheme="majorBidi"/>
          <w:color w:val="000000" w:themeColor="text1"/>
          <w:sz w:val="32"/>
        </w:rPr>
        <w:footnoteReference w:id="9"/>
      </w:r>
    </w:p>
    <w:p w:rsidR="008C7F7A" w:rsidRPr="003E5C4C" w:rsidRDefault="00824EB7" w:rsidP="008C7F7A">
      <w:pPr>
        <w:pStyle w:val="NormalWeb"/>
        <w:jc w:val="both"/>
        <w:rPr>
          <w:rStyle w:val="Strong"/>
          <w:rFonts w:asciiTheme="majorBidi" w:hAnsiTheme="majorBidi" w:cstheme="majorBidi"/>
          <w:b w:val="0"/>
          <w:bCs w:val="0"/>
          <w:color w:val="000000" w:themeColor="text1"/>
          <w:sz w:val="32"/>
        </w:rPr>
      </w:pPr>
      <w:r w:rsidRPr="003E5C4C">
        <w:rPr>
          <w:rStyle w:val="Strong"/>
          <w:rFonts w:asciiTheme="majorBidi" w:hAnsiTheme="majorBidi" w:cstheme="majorBidi"/>
          <w:b w:val="0"/>
          <w:bCs w:val="0"/>
          <w:color w:val="000000" w:themeColor="text1"/>
          <w:sz w:val="32"/>
        </w:rPr>
        <w:t xml:space="preserve">A mere </w:t>
      </w:r>
      <w:r w:rsidR="008C7F7A" w:rsidRPr="003E5C4C">
        <w:rPr>
          <w:rStyle w:val="Strong"/>
          <w:rFonts w:asciiTheme="majorBidi" w:hAnsiTheme="majorBidi" w:cstheme="majorBidi"/>
          <w:b w:val="0"/>
          <w:bCs w:val="0"/>
          <w:color w:val="000000" w:themeColor="text1"/>
          <w:sz w:val="32"/>
        </w:rPr>
        <w:t xml:space="preserve">four new executive positions account for $634,000 in new compensation (25.1% of the total increase) while five </w:t>
      </w:r>
      <w:r w:rsidR="00B8436C" w:rsidRPr="003E5C4C">
        <w:rPr>
          <w:rStyle w:val="Strong"/>
          <w:rFonts w:asciiTheme="majorBidi" w:hAnsiTheme="majorBidi" w:cstheme="majorBidi"/>
          <w:b w:val="0"/>
          <w:bCs w:val="0"/>
          <w:color w:val="000000" w:themeColor="text1"/>
          <w:sz w:val="32"/>
        </w:rPr>
        <w:t xml:space="preserve">athletic </w:t>
      </w:r>
      <w:r w:rsidR="008C7F7A" w:rsidRPr="003E5C4C">
        <w:rPr>
          <w:rStyle w:val="Strong"/>
          <w:rFonts w:asciiTheme="majorBidi" w:hAnsiTheme="majorBidi" w:cstheme="majorBidi"/>
          <w:b w:val="0"/>
          <w:bCs w:val="0"/>
          <w:color w:val="000000" w:themeColor="text1"/>
          <w:sz w:val="32"/>
        </w:rPr>
        <w:t xml:space="preserve">coaching positions account for a further $219,000 (8.7%).  </w:t>
      </w:r>
      <w:r w:rsidR="00A71453" w:rsidRPr="003E5C4C">
        <w:rPr>
          <w:rStyle w:val="Strong"/>
          <w:rFonts w:asciiTheme="majorBidi" w:hAnsiTheme="majorBidi" w:cstheme="majorBidi"/>
          <w:b w:val="0"/>
          <w:bCs w:val="0"/>
          <w:color w:val="000000" w:themeColor="text1"/>
          <w:sz w:val="32"/>
        </w:rPr>
        <w:t>The “e</w:t>
      </w:r>
      <w:r w:rsidR="008C7F7A" w:rsidRPr="003E5C4C">
        <w:rPr>
          <w:rStyle w:val="Strong"/>
          <w:rFonts w:asciiTheme="majorBidi" w:hAnsiTheme="majorBidi" w:cstheme="majorBidi"/>
          <w:b w:val="0"/>
          <w:bCs w:val="0"/>
          <w:color w:val="000000" w:themeColor="text1"/>
          <w:sz w:val="32"/>
        </w:rPr>
        <w:t>xecutive” category is comprised of the president, provost, associate and assistant vice presidents, deans and associate deans, athletic director, general counsel, chief of staff, president of the ISU Foundation, executive director of government relations, and executive director of strategic initiatives.</w:t>
      </w:r>
    </w:p>
    <w:p w:rsidR="008C7F7A" w:rsidRPr="003E5C4C" w:rsidRDefault="008C7F7A" w:rsidP="00B8436C">
      <w:pPr>
        <w:pStyle w:val="NormalWeb"/>
        <w:jc w:val="both"/>
        <w:rPr>
          <w:rStyle w:val="Strong"/>
          <w:rFonts w:asciiTheme="majorBidi" w:hAnsiTheme="majorBidi" w:cstheme="majorBidi"/>
          <w:b w:val="0"/>
          <w:bCs w:val="0"/>
          <w:color w:val="000000" w:themeColor="text1"/>
          <w:sz w:val="32"/>
        </w:rPr>
      </w:pPr>
      <w:r w:rsidRPr="003E5C4C">
        <w:rPr>
          <w:rStyle w:val="Strong"/>
          <w:rFonts w:asciiTheme="majorBidi" w:hAnsiTheme="majorBidi" w:cstheme="majorBidi"/>
          <w:b w:val="0"/>
          <w:bCs w:val="0"/>
          <w:color w:val="000000" w:themeColor="text1"/>
          <w:sz w:val="32"/>
        </w:rPr>
        <w:t xml:space="preserve">The largest overall increases came in the ballooning of the </w:t>
      </w:r>
      <w:r w:rsidR="00B8436C" w:rsidRPr="003E5C4C">
        <w:rPr>
          <w:rStyle w:val="Strong"/>
          <w:rFonts w:asciiTheme="majorBidi" w:hAnsiTheme="majorBidi" w:cstheme="majorBidi"/>
          <w:b w:val="0"/>
          <w:bCs w:val="0"/>
          <w:color w:val="000000" w:themeColor="text1"/>
          <w:sz w:val="32"/>
        </w:rPr>
        <w:t>“</w:t>
      </w:r>
      <w:r w:rsidR="00A71453" w:rsidRPr="003E5C4C">
        <w:rPr>
          <w:rStyle w:val="Strong"/>
          <w:rFonts w:asciiTheme="majorBidi" w:hAnsiTheme="majorBidi" w:cstheme="majorBidi"/>
          <w:b w:val="0"/>
          <w:bCs w:val="0"/>
          <w:color w:val="000000" w:themeColor="text1"/>
          <w:sz w:val="32"/>
        </w:rPr>
        <w:t>administrative and professional</w:t>
      </w:r>
      <w:r w:rsidR="00B8436C" w:rsidRPr="003E5C4C">
        <w:rPr>
          <w:rStyle w:val="Strong"/>
          <w:rFonts w:asciiTheme="majorBidi" w:hAnsiTheme="majorBidi" w:cstheme="majorBidi"/>
          <w:b w:val="0"/>
          <w:bCs w:val="0"/>
          <w:color w:val="000000" w:themeColor="text1"/>
          <w:sz w:val="32"/>
        </w:rPr>
        <w:t>” category</w:t>
      </w:r>
      <w:r w:rsidRPr="003E5C4C">
        <w:rPr>
          <w:rStyle w:val="Strong"/>
          <w:rFonts w:asciiTheme="majorBidi" w:hAnsiTheme="majorBidi" w:cstheme="majorBidi"/>
          <w:b w:val="0"/>
          <w:bCs w:val="0"/>
          <w:color w:val="000000" w:themeColor="text1"/>
          <w:sz w:val="32"/>
        </w:rPr>
        <w:t xml:space="preserve">, where </w:t>
      </w:r>
      <w:r w:rsidR="00B8436C" w:rsidRPr="003E5C4C">
        <w:rPr>
          <w:rStyle w:val="Strong"/>
          <w:rFonts w:asciiTheme="majorBidi" w:hAnsiTheme="majorBidi" w:cstheme="majorBidi"/>
          <w:b w:val="0"/>
          <w:bCs w:val="0"/>
          <w:color w:val="000000" w:themeColor="text1"/>
          <w:sz w:val="32"/>
        </w:rPr>
        <w:t>28.4</w:t>
      </w:r>
      <w:r w:rsidRPr="003E5C4C">
        <w:rPr>
          <w:rStyle w:val="Strong"/>
          <w:rFonts w:asciiTheme="majorBidi" w:hAnsiTheme="majorBidi" w:cstheme="majorBidi"/>
          <w:b w:val="0"/>
          <w:bCs w:val="0"/>
          <w:color w:val="000000" w:themeColor="text1"/>
          <w:sz w:val="32"/>
        </w:rPr>
        <w:t xml:space="preserve"> new positions were created at a cost of $</w:t>
      </w:r>
      <w:r w:rsidR="00B8436C" w:rsidRPr="003E5C4C">
        <w:rPr>
          <w:rStyle w:val="Strong"/>
          <w:rFonts w:asciiTheme="majorBidi" w:hAnsiTheme="majorBidi" w:cstheme="majorBidi"/>
          <w:b w:val="0"/>
          <w:bCs w:val="0"/>
          <w:color w:val="000000" w:themeColor="text1"/>
          <w:sz w:val="32"/>
        </w:rPr>
        <w:t>2.01</w:t>
      </w:r>
      <w:r w:rsidRPr="003E5C4C">
        <w:rPr>
          <w:rStyle w:val="Strong"/>
          <w:rFonts w:asciiTheme="majorBidi" w:hAnsiTheme="majorBidi" w:cstheme="majorBidi"/>
          <w:b w:val="0"/>
          <w:bCs w:val="0"/>
          <w:color w:val="000000" w:themeColor="text1"/>
          <w:sz w:val="32"/>
        </w:rPr>
        <w:t xml:space="preserve"> million.</w:t>
      </w:r>
      <w:r w:rsidR="00653541">
        <w:rPr>
          <w:rStyle w:val="FootnoteReference"/>
          <w:rFonts w:asciiTheme="majorBidi" w:hAnsiTheme="majorBidi" w:cstheme="majorBidi"/>
          <w:color w:val="000000" w:themeColor="text1"/>
          <w:sz w:val="32"/>
        </w:rPr>
        <w:footnoteReference w:id="10"/>
      </w:r>
      <w:r w:rsidRPr="003E5C4C">
        <w:rPr>
          <w:rStyle w:val="Strong"/>
          <w:rFonts w:asciiTheme="majorBidi" w:hAnsiTheme="majorBidi" w:cstheme="majorBidi"/>
          <w:b w:val="0"/>
          <w:bCs w:val="0"/>
          <w:color w:val="000000" w:themeColor="text1"/>
          <w:sz w:val="32"/>
        </w:rPr>
        <w:t xml:space="preserve"> </w:t>
      </w:r>
      <w:r w:rsidR="00A71453" w:rsidRPr="003E5C4C">
        <w:rPr>
          <w:rStyle w:val="Strong"/>
          <w:rFonts w:asciiTheme="majorBidi" w:hAnsiTheme="majorBidi" w:cstheme="majorBidi"/>
          <w:b w:val="0"/>
          <w:bCs w:val="0"/>
          <w:color w:val="000000" w:themeColor="text1"/>
          <w:sz w:val="32"/>
        </w:rPr>
        <w:t xml:space="preserve"> Combined, then, the “executive” and “administrative and professional” categories saw 32.4 new positions created with $2.65</w:t>
      </w:r>
      <w:r w:rsidRPr="003E5C4C">
        <w:rPr>
          <w:rStyle w:val="Strong"/>
          <w:rFonts w:asciiTheme="majorBidi" w:hAnsiTheme="majorBidi" w:cstheme="majorBidi"/>
          <w:b w:val="0"/>
          <w:bCs w:val="0"/>
          <w:color w:val="000000" w:themeColor="text1"/>
          <w:sz w:val="32"/>
        </w:rPr>
        <w:t xml:space="preserve"> </w:t>
      </w:r>
      <w:r w:rsidR="00A71453" w:rsidRPr="003E5C4C">
        <w:rPr>
          <w:rStyle w:val="Strong"/>
          <w:rFonts w:asciiTheme="majorBidi" w:hAnsiTheme="majorBidi" w:cstheme="majorBidi"/>
          <w:b w:val="0"/>
          <w:bCs w:val="0"/>
          <w:color w:val="000000" w:themeColor="text1"/>
          <w:sz w:val="32"/>
        </w:rPr>
        <w:t xml:space="preserve">million in salary.  </w:t>
      </w:r>
      <w:r w:rsidRPr="003E5C4C">
        <w:rPr>
          <w:rStyle w:val="Strong"/>
          <w:rFonts w:asciiTheme="majorBidi" w:hAnsiTheme="majorBidi" w:cstheme="majorBidi"/>
          <w:b w:val="0"/>
          <w:bCs w:val="0"/>
          <w:color w:val="000000" w:themeColor="text1"/>
          <w:sz w:val="32"/>
        </w:rPr>
        <w:t>The only area of cont</w:t>
      </w:r>
      <w:r w:rsidR="00A71453" w:rsidRPr="003E5C4C">
        <w:rPr>
          <w:rStyle w:val="Strong"/>
          <w:rFonts w:asciiTheme="majorBidi" w:hAnsiTheme="majorBidi" w:cstheme="majorBidi"/>
          <w:b w:val="0"/>
          <w:bCs w:val="0"/>
          <w:color w:val="000000" w:themeColor="text1"/>
          <w:sz w:val="32"/>
        </w:rPr>
        <w:t>raction came from the ranks of “part time p</w:t>
      </w:r>
      <w:r w:rsidRPr="003E5C4C">
        <w:rPr>
          <w:rStyle w:val="Strong"/>
          <w:rFonts w:asciiTheme="majorBidi" w:hAnsiTheme="majorBidi" w:cstheme="majorBidi"/>
          <w:b w:val="0"/>
          <w:bCs w:val="0"/>
          <w:color w:val="000000" w:themeColor="text1"/>
          <w:sz w:val="32"/>
        </w:rPr>
        <w:t>rofessionals,</w:t>
      </w:r>
      <w:r w:rsidR="00A71453" w:rsidRPr="003E5C4C">
        <w:rPr>
          <w:rStyle w:val="Strong"/>
          <w:rFonts w:asciiTheme="majorBidi" w:hAnsiTheme="majorBidi" w:cstheme="majorBidi"/>
          <w:b w:val="0"/>
          <w:bCs w:val="0"/>
          <w:color w:val="000000" w:themeColor="text1"/>
          <w:sz w:val="32"/>
        </w:rPr>
        <w:t>”</w:t>
      </w:r>
      <w:r w:rsidRPr="003E5C4C">
        <w:rPr>
          <w:rStyle w:val="Strong"/>
          <w:rFonts w:asciiTheme="majorBidi" w:hAnsiTheme="majorBidi" w:cstheme="majorBidi"/>
          <w:b w:val="0"/>
          <w:bCs w:val="0"/>
          <w:color w:val="000000" w:themeColor="text1"/>
          <w:sz w:val="32"/>
        </w:rPr>
        <w:t xml:space="preserve"> where the equivalent of 7.3 “full time” equivalents was reduced to 2.9, offsetting $340,000 in salary growth elsewhere.</w:t>
      </w:r>
    </w:p>
    <w:p w:rsidR="0016735E" w:rsidRPr="003E5C4C" w:rsidRDefault="0016735E">
      <w:pPr>
        <w:pStyle w:val="NormalWeb"/>
        <w:jc w:val="both"/>
        <w:rPr>
          <w:rStyle w:val="Strong"/>
          <w:rFonts w:asciiTheme="majorBidi" w:hAnsiTheme="majorBidi" w:cstheme="majorBidi"/>
          <w:color w:val="000000" w:themeColor="text1"/>
          <w:sz w:val="28"/>
        </w:rPr>
      </w:pPr>
      <w:r w:rsidRPr="003E5C4C">
        <w:rPr>
          <w:rStyle w:val="Strong"/>
          <w:rFonts w:asciiTheme="majorBidi" w:hAnsiTheme="majorBidi" w:cstheme="majorBidi"/>
          <w:color w:val="000000" w:themeColor="text1"/>
          <w:sz w:val="28"/>
        </w:rPr>
        <w:t xml:space="preserve">Figure </w:t>
      </w:r>
      <w:r w:rsidR="00F5293C" w:rsidRPr="003E5C4C">
        <w:rPr>
          <w:rStyle w:val="Strong"/>
          <w:rFonts w:asciiTheme="majorBidi" w:hAnsiTheme="majorBidi" w:cstheme="majorBidi"/>
          <w:color w:val="000000" w:themeColor="text1"/>
          <w:sz w:val="28"/>
        </w:rPr>
        <w:t>4</w:t>
      </w:r>
      <w:r w:rsidRPr="003E5C4C">
        <w:rPr>
          <w:rStyle w:val="Strong"/>
          <w:rFonts w:asciiTheme="majorBidi" w:hAnsiTheme="majorBidi" w:cstheme="majorBidi"/>
          <w:color w:val="000000" w:themeColor="text1"/>
          <w:sz w:val="28"/>
        </w:rPr>
        <w:t xml:space="preserve">: </w:t>
      </w:r>
      <w:r w:rsidR="00464DB0" w:rsidRPr="003E5C4C">
        <w:rPr>
          <w:rStyle w:val="Strong"/>
          <w:rFonts w:asciiTheme="majorBidi" w:hAnsiTheme="majorBidi" w:cstheme="majorBidi"/>
          <w:color w:val="000000" w:themeColor="text1"/>
          <w:sz w:val="28"/>
        </w:rPr>
        <w:t>Administrative Positions, 2015-16</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1170"/>
        <w:gridCol w:w="1800"/>
        <w:gridCol w:w="1170"/>
        <w:gridCol w:w="1728"/>
      </w:tblGrid>
      <w:tr w:rsidR="008C7F7A" w:rsidRPr="0097536F" w:rsidTr="009F5C0F">
        <w:trPr>
          <w:trHeight w:val="379"/>
        </w:trPr>
        <w:tc>
          <w:tcPr>
            <w:tcW w:w="3615" w:type="dxa"/>
            <w:shd w:val="clear" w:color="auto" w:fill="auto"/>
            <w:noWrap/>
            <w:vAlign w:val="bottom"/>
            <w:hideMark/>
          </w:tcPr>
          <w:p w:rsidR="008C7F7A" w:rsidRPr="003E5C4C" w:rsidRDefault="008C7F7A" w:rsidP="00E242D7">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Categories</w:t>
            </w:r>
          </w:p>
        </w:tc>
        <w:tc>
          <w:tcPr>
            <w:tcW w:w="1170" w:type="dxa"/>
            <w:shd w:val="clear" w:color="000000" w:fill="D9D9D9" w:themeFill="background1" w:themeFillShade="D9"/>
            <w:vAlign w:val="bottom"/>
          </w:tcPr>
          <w:p w:rsidR="008C7F7A" w:rsidRPr="003E5C4C" w:rsidRDefault="008C7F7A" w:rsidP="00E242D7">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2015</w:t>
            </w:r>
          </w:p>
          <w:p w:rsidR="008C7F7A" w:rsidRPr="003E5C4C" w:rsidRDefault="008C7F7A" w:rsidP="00E242D7">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Positions</w:t>
            </w:r>
          </w:p>
        </w:tc>
        <w:tc>
          <w:tcPr>
            <w:tcW w:w="1800" w:type="dxa"/>
            <w:shd w:val="clear" w:color="000000" w:fill="FFFFFF" w:themeFill="background1"/>
            <w:noWrap/>
            <w:vAlign w:val="bottom"/>
            <w:hideMark/>
          </w:tcPr>
          <w:p w:rsidR="008C7F7A" w:rsidRPr="003E5C4C" w:rsidRDefault="008C7F7A" w:rsidP="00E242D7">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2015 </w:t>
            </w:r>
          </w:p>
          <w:p w:rsidR="008C7F7A" w:rsidRPr="003E5C4C" w:rsidRDefault="008C7F7A" w:rsidP="00E242D7">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 xml:space="preserve">Compensation </w:t>
            </w:r>
          </w:p>
          <w:p w:rsidR="008C7F7A" w:rsidRPr="003E5C4C" w:rsidRDefault="008C7F7A" w:rsidP="00E242D7">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($100</w:t>
            </w:r>
            <w:r w:rsidR="00811985" w:rsidRPr="003E5C4C">
              <w:rPr>
                <w:rFonts w:asciiTheme="majorBidi" w:eastAsia="Times New Roman" w:hAnsiTheme="majorBidi" w:cstheme="majorBidi"/>
                <w:b/>
                <w:bCs/>
                <w:color w:val="000000" w:themeColor="text1"/>
                <w:sz w:val="24"/>
                <w:szCs w:val="20"/>
              </w:rPr>
              <w:t>0</w:t>
            </w:r>
            <w:r w:rsidRPr="003E5C4C">
              <w:rPr>
                <w:rFonts w:asciiTheme="majorBidi" w:eastAsia="Times New Roman" w:hAnsiTheme="majorBidi" w:cstheme="majorBidi"/>
                <w:b/>
                <w:bCs/>
                <w:color w:val="000000" w:themeColor="text1"/>
                <w:sz w:val="24"/>
                <w:szCs w:val="20"/>
              </w:rPr>
              <w:t>s)</w:t>
            </w:r>
          </w:p>
        </w:tc>
        <w:tc>
          <w:tcPr>
            <w:tcW w:w="1170" w:type="dxa"/>
            <w:shd w:val="clear" w:color="000000" w:fill="D9D9D9" w:themeFill="background1" w:themeFillShade="D9"/>
          </w:tcPr>
          <w:p w:rsidR="008C7F7A" w:rsidRPr="003E5C4C" w:rsidRDefault="008C7F7A" w:rsidP="00E242D7">
            <w:pPr>
              <w:spacing w:after="0" w:line="240" w:lineRule="auto"/>
              <w:jc w:val="both"/>
              <w:rPr>
                <w:rFonts w:asciiTheme="majorBidi" w:eastAsia="Times New Roman" w:hAnsiTheme="majorBidi" w:cstheme="majorBidi"/>
                <w:b/>
                <w:bCs/>
                <w:color w:val="000000" w:themeColor="text1"/>
                <w:sz w:val="24"/>
                <w:szCs w:val="20"/>
              </w:rPr>
            </w:pPr>
          </w:p>
          <w:p w:rsidR="008C7F7A" w:rsidRPr="003E5C4C" w:rsidRDefault="008C7F7A" w:rsidP="00E242D7">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2016</w:t>
            </w:r>
          </w:p>
          <w:p w:rsidR="008C7F7A" w:rsidRPr="003E5C4C" w:rsidRDefault="008C7F7A" w:rsidP="00E242D7">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Positions</w:t>
            </w:r>
          </w:p>
        </w:tc>
        <w:tc>
          <w:tcPr>
            <w:tcW w:w="1728" w:type="dxa"/>
            <w:shd w:val="clear" w:color="000000" w:fill="FFFFFF" w:themeFill="background1"/>
            <w:noWrap/>
            <w:vAlign w:val="bottom"/>
            <w:hideMark/>
          </w:tcPr>
          <w:p w:rsidR="008C7F7A" w:rsidRPr="003E5C4C" w:rsidRDefault="008C7F7A" w:rsidP="00E242D7">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2016</w:t>
            </w:r>
          </w:p>
          <w:p w:rsidR="008C7F7A" w:rsidRPr="003E5C4C" w:rsidRDefault="008C7F7A" w:rsidP="00E242D7">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Compensation</w:t>
            </w:r>
          </w:p>
          <w:p w:rsidR="008C7F7A" w:rsidRPr="003E5C4C" w:rsidRDefault="008C7F7A" w:rsidP="00E242D7">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($1000s) </w:t>
            </w:r>
          </w:p>
        </w:tc>
      </w:tr>
      <w:tr w:rsidR="008C7F7A" w:rsidRPr="0097536F" w:rsidTr="009F5C0F">
        <w:trPr>
          <w:trHeight w:val="319"/>
        </w:trPr>
        <w:tc>
          <w:tcPr>
            <w:tcW w:w="3615" w:type="dxa"/>
            <w:shd w:val="clear" w:color="auto" w:fill="auto"/>
            <w:noWrap/>
            <w:vAlign w:val="bottom"/>
            <w:hideMark/>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 xml:space="preserve">  Executive</w:t>
            </w:r>
          </w:p>
        </w:tc>
        <w:tc>
          <w:tcPr>
            <w:tcW w:w="1170" w:type="dxa"/>
            <w:shd w:val="clear" w:color="000000" w:fill="D9D9D9" w:themeFill="background1" w:themeFillShade="D9"/>
            <w:vAlign w:val="bottom"/>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40.0</w:t>
            </w:r>
          </w:p>
        </w:tc>
        <w:tc>
          <w:tcPr>
            <w:tcW w:w="1800" w:type="dxa"/>
            <w:shd w:val="clear" w:color="000000" w:fill="FFFFFF" w:themeFill="background1"/>
            <w:noWrap/>
            <w:vAlign w:val="bottom"/>
            <w:hideMark/>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5,952</w:t>
            </w:r>
          </w:p>
        </w:tc>
        <w:tc>
          <w:tcPr>
            <w:tcW w:w="1170" w:type="dxa"/>
            <w:shd w:val="clear" w:color="000000" w:fill="D9D9D9" w:themeFill="background1" w:themeFillShade="D9"/>
            <w:vAlign w:val="bottom"/>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44.0</w:t>
            </w:r>
          </w:p>
        </w:tc>
        <w:tc>
          <w:tcPr>
            <w:tcW w:w="1728" w:type="dxa"/>
            <w:shd w:val="clear" w:color="000000" w:fill="FFFFFF" w:themeFill="background1"/>
            <w:noWrap/>
            <w:vAlign w:val="bottom"/>
            <w:hideMark/>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6,586</w:t>
            </w:r>
          </w:p>
        </w:tc>
      </w:tr>
      <w:tr w:rsidR="008C7F7A" w:rsidRPr="0097536F" w:rsidTr="009F5C0F">
        <w:trPr>
          <w:trHeight w:val="319"/>
        </w:trPr>
        <w:tc>
          <w:tcPr>
            <w:tcW w:w="3615" w:type="dxa"/>
            <w:shd w:val="clear" w:color="auto" w:fill="auto"/>
            <w:noWrap/>
            <w:vAlign w:val="bottom"/>
            <w:hideMark/>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 xml:space="preserve">  Administrative and Professional</w:t>
            </w:r>
          </w:p>
        </w:tc>
        <w:tc>
          <w:tcPr>
            <w:tcW w:w="1170" w:type="dxa"/>
            <w:shd w:val="clear" w:color="000000" w:fill="D9D9D9" w:themeFill="background1" w:themeFillShade="D9"/>
            <w:vAlign w:val="bottom"/>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417.6</w:t>
            </w:r>
          </w:p>
        </w:tc>
        <w:tc>
          <w:tcPr>
            <w:tcW w:w="1800" w:type="dxa"/>
            <w:shd w:val="clear" w:color="000000" w:fill="FFFFFF" w:themeFill="background1"/>
            <w:noWrap/>
            <w:vAlign w:val="bottom"/>
            <w:hideMark/>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22,249</w:t>
            </w:r>
          </w:p>
        </w:tc>
        <w:tc>
          <w:tcPr>
            <w:tcW w:w="1170" w:type="dxa"/>
            <w:shd w:val="clear" w:color="000000" w:fill="D9D9D9" w:themeFill="background1" w:themeFillShade="D9"/>
            <w:vAlign w:val="bottom"/>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446.0</w:t>
            </w:r>
          </w:p>
        </w:tc>
        <w:tc>
          <w:tcPr>
            <w:tcW w:w="1728" w:type="dxa"/>
            <w:shd w:val="clear" w:color="000000" w:fill="FFFFFF" w:themeFill="background1"/>
            <w:noWrap/>
            <w:vAlign w:val="bottom"/>
            <w:hideMark/>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24,262</w:t>
            </w:r>
          </w:p>
        </w:tc>
      </w:tr>
      <w:tr w:rsidR="008C7F7A" w:rsidRPr="0097536F" w:rsidTr="009F5C0F">
        <w:trPr>
          <w:trHeight w:val="319"/>
        </w:trPr>
        <w:tc>
          <w:tcPr>
            <w:tcW w:w="3615" w:type="dxa"/>
            <w:shd w:val="clear" w:color="auto" w:fill="auto"/>
            <w:noWrap/>
            <w:vAlign w:val="bottom"/>
            <w:hideMark/>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lastRenderedPageBreak/>
              <w:t xml:space="preserve">  Coaches</w:t>
            </w:r>
          </w:p>
        </w:tc>
        <w:tc>
          <w:tcPr>
            <w:tcW w:w="1170" w:type="dxa"/>
            <w:shd w:val="clear" w:color="000000" w:fill="D9D9D9" w:themeFill="background1" w:themeFillShade="D9"/>
            <w:vAlign w:val="bottom"/>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35.0</w:t>
            </w:r>
          </w:p>
        </w:tc>
        <w:tc>
          <w:tcPr>
            <w:tcW w:w="1800" w:type="dxa"/>
            <w:shd w:val="clear" w:color="000000" w:fill="FFFFFF" w:themeFill="background1"/>
            <w:noWrap/>
            <w:vAlign w:val="bottom"/>
            <w:hideMark/>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2,304</w:t>
            </w:r>
          </w:p>
        </w:tc>
        <w:tc>
          <w:tcPr>
            <w:tcW w:w="1170" w:type="dxa"/>
            <w:shd w:val="clear" w:color="000000" w:fill="D9D9D9" w:themeFill="background1" w:themeFillShade="D9"/>
            <w:vAlign w:val="bottom"/>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40.0</w:t>
            </w:r>
          </w:p>
        </w:tc>
        <w:tc>
          <w:tcPr>
            <w:tcW w:w="1728" w:type="dxa"/>
            <w:shd w:val="clear" w:color="000000" w:fill="FFFFFF" w:themeFill="background1"/>
            <w:noWrap/>
            <w:vAlign w:val="bottom"/>
            <w:hideMark/>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2,523</w:t>
            </w:r>
          </w:p>
        </w:tc>
      </w:tr>
      <w:tr w:rsidR="008C7F7A" w:rsidRPr="0097536F" w:rsidTr="009F5C0F">
        <w:trPr>
          <w:trHeight w:val="319"/>
        </w:trPr>
        <w:tc>
          <w:tcPr>
            <w:tcW w:w="3615" w:type="dxa"/>
            <w:shd w:val="clear" w:color="auto" w:fill="auto"/>
            <w:noWrap/>
            <w:vAlign w:val="bottom"/>
            <w:hideMark/>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 xml:space="preserve">  Professional - PT</w:t>
            </w:r>
          </w:p>
        </w:tc>
        <w:tc>
          <w:tcPr>
            <w:tcW w:w="1170" w:type="dxa"/>
            <w:shd w:val="clear" w:color="000000" w:fill="D9D9D9" w:themeFill="background1" w:themeFillShade="D9"/>
            <w:vAlign w:val="bottom"/>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7.3</w:t>
            </w:r>
          </w:p>
        </w:tc>
        <w:tc>
          <w:tcPr>
            <w:tcW w:w="1800" w:type="dxa"/>
            <w:shd w:val="clear" w:color="000000" w:fill="FFFFFF" w:themeFill="background1"/>
            <w:noWrap/>
            <w:vAlign w:val="bottom"/>
            <w:hideMark/>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406</w:t>
            </w:r>
          </w:p>
        </w:tc>
        <w:tc>
          <w:tcPr>
            <w:tcW w:w="1170" w:type="dxa"/>
            <w:shd w:val="clear" w:color="000000" w:fill="D9D9D9" w:themeFill="background1" w:themeFillShade="D9"/>
            <w:vAlign w:val="bottom"/>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2.9</w:t>
            </w:r>
          </w:p>
        </w:tc>
        <w:tc>
          <w:tcPr>
            <w:tcW w:w="1728" w:type="dxa"/>
            <w:shd w:val="clear" w:color="000000" w:fill="FFFFFF" w:themeFill="background1"/>
            <w:noWrap/>
            <w:vAlign w:val="bottom"/>
            <w:hideMark/>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66</w:t>
            </w:r>
          </w:p>
        </w:tc>
      </w:tr>
      <w:tr w:rsidR="008C7F7A" w:rsidRPr="0097536F" w:rsidTr="009F5C0F">
        <w:trPr>
          <w:trHeight w:val="319"/>
        </w:trPr>
        <w:tc>
          <w:tcPr>
            <w:tcW w:w="3615" w:type="dxa"/>
            <w:shd w:val="clear" w:color="auto" w:fill="auto"/>
            <w:noWrap/>
            <w:vAlign w:val="bottom"/>
            <w:hideMark/>
          </w:tcPr>
          <w:p w:rsidR="008C7F7A" w:rsidRPr="003E5C4C" w:rsidRDefault="008C7F7A" w:rsidP="00E242D7">
            <w:pPr>
              <w:spacing w:after="0" w:line="240" w:lineRule="auto"/>
              <w:jc w:val="both"/>
              <w:rPr>
                <w:rFonts w:asciiTheme="majorBidi" w:eastAsia="Times New Roman" w:hAnsiTheme="majorBidi" w:cstheme="majorBidi"/>
                <w:b/>
                <w:bCs/>
                <w:color w:val="000000" w:themeColor="text1"/>
                <w:sz w:val="24"/>
                <w:szCs w:val="20"/>
              </w:rPr>
            </w:pPr>
            <w:r w:rsidRPr="003E5C4C">
              <w:rPr>
                <w:rFonts w:asciiTheme="majorBidi" w:eastAsia="Times New Roman" w:hAnsiTheme="majorBidi" w:cstheme="majorBidi"/>
                <w:b/>
                <w:bCs/>
                <w:color w:val="000000" w:themeColor="text1"/>
                <w:sz w:val="24"/>
                <w:szCs w:val="20"/>
              </w:rPr>
              <w:t>Total EAP</w:t>
            </w:r>
          </w:p>
        </w:tc>
        <w:tc>
          <w:tcPr>
            <w:tcW w:w="1170" w:type="dxa"/>
            <w:shd w:val="clear" w:color="000000" w:fill="D9D9D9" w:themeFill="background1" w:themeFillShade="D9"/>
            <w:vAlign w:val="bottom"/>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499.8</w:t>
            </w:r>
          </w:p>
        </w:tc>
        <w:tc>
          <w:tcPr>
            <w:tcW w:w="1800" w:type="dxa"/>
            <w:shd w:val="clear" w:color="000000" w:fill="FFFFFF" w:themeFill="background1"/>
            <w:noWrap/>
            <w:vAlign w:val="bottom"/>
            <w:hideMark/>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30,910</w:t>
            </w:r>
          </w:p>
        </w:tc>
        <w:tc>
          <w:tcPr>
            <w:tcW w:w="1170" w:type="dxa"/>
            <w:shd w:val="clear" w:color="000000" w:fill="D9D9D9" w:themeFill="background1" w:themeFillShade="D9"/>
            <w:vAlign w:val="bottom"/>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532.9</w:t>
            </w:r>
          </w:p>
        </w:tc>
        <w:tc>
          <w:tcPr>
            <w:tcW w:w="1728" w:type="dxa"/>
            <w:shd w:val="clear" w:color="000000" w:fill="FFFFFF" w:themeFill="background1"/>
            <w:noWrap/>
            <w:vAlign w:val="bottom"/>
            <w:hideMark/>
          </w:tcPr>
          <w:p w:rsidR="008C7F7A" w:rsidRPr="003E5C4C" w:rsidRDefault="008C7F7A" w:rsidP="00E242D7">
            <w:pPr>
              <w:spacing w:after="0" w:line="240" w:lineRule="auto"/>
              <w:jc w:val="both"/>
              <w:rPr>
                <w:rFonts w:asciiTheme="majorBidi" w:eastAsia="Times New Roman" w:hAnsiTheme="majorBidi" w:cstheme="majorBidi"/>
                <w:color w:val="000000" w:themeColor="text1"/>
                <w:sz w:val="24"/>
                <w:szCs w:val="20"/>
              </w:rPr>
            </w:pPr>
            <w:r w:rsidRPr="003E5C4C">
              <w:rPr>
                <w:rFonts w:asciiTheme="majorBidi" w:eastAsia="Times New Roman" w:hAnsiTheme="majorBidi" w:cstheme="majorBidi"/>
                <w:color w:val="000000" w:themeColor="text1"/>
                <w:sz w:val="24"/>
                <w:szCs w:val="20"/>
              </w:rPr>
              <w:t>33,437</w:t>
            </w:r>
          </w:p>
        </w:tc>
      </w:tr>
    </w:tbl>
    <w:p w:rsidR="00D63956" w:rsidRPr="003E5C4C" w:rsidRDefault="00D63956">
      <w:pPr>
        <w:rPr>
          <w:rStyle w:val="Strong"/>
          <w:rFonts w:asciiTheme="majorBidi" w:hAnsiTheme="majorBidi" w:cstheme="majorBidi"/>
          <w:color w:val="000000" w:themeColor="text1"/>
          <w:sz w:val="28"/>
        </w:rPr>
      </w:pPr>
    </w:p>
    <w:p w:rsidR="0016735E" w:rsidRPr="003E5C4C" w:rsidRDefault="00C33653">
      <w:pPr>
        <w:rPr>
          <w:rStyle w:val="Strong"/>
          <w:rFonts w:asciiTheme="majorBidi" w:hAnsiTheme="majorBidi" w:cstheme="majorBidi"/>
          <w:color w:val="FF0000"/>
          <w:sz w:val="28"/>
        </w:rPr>
      </w:pPr>
      <w:r w:rsidRPr="003E5C4C">
        <w:rPr>
          <w:rStyle w:val="Strong"/>
          <w:rFonts w:asciiTheme="majorBidi" w:hAnsiTheme="majorBidi" w:cstheme="majorBidi"/>
          <w:b w:val="0"/>
          <w:sz w:val="28"/>
        </w:rPr>
        <w:t xml:space="preserve">Figure </w:t>
      </w:r>
      <w:r w:rsidR="0097536F">
        <w:rPr>
          <w:rStyle w:val="Strong"/>
          <w:rFonts w:asciiTheme="majorBidi" w:hAnsiTheme="majorBidi" w:cstheme="majorBidi"/>
          <w:b w:val="0"/>
          <w:sz w:val="28"/>
        </w:rPr>
        <w:t>5</w:t>
      </w:r>
      <w:r w:rsidRPr="003E5C4C">
        <w:rPr>
          <w:rStyle w:val="Strong"/>
          <w:rFonts w:asciiTheme="majorBidi" w:hAnsiTheme="majorBidi" w:cstheme="majorBidi"/>
          <w:b w:val="0"/>
          <w:sz w:val="28"/>
        </w:rPr>
        <w:t xml:space="preserve"> illustrates a trend of </w:t>
      </w:r>
      <w:r w:rsidR="00042B46" w:rsidRPr="003E5C4C">
        <w:rPr>
          <w:rFonts w:asciiTheme="majorBidi" w:hAnsiTheme="majorBidi" w:cstheme="majorBidi"/>
          <w:color w:val="000000" w:themeColor="text1"/>
          <w:sz w:val="28"/>
        </w:rPr>
        <w:t xml:space="preserve">resources </w:t>
      </w:r>
      <w:r w:rsidRPr="003E5C4C">
        <w:rPr>
          <w:rFonts w:asciiTheme="majorBidi" w:hAnsiTheme="majorBidi" w:cstheme="majorBidi"/>
          <w:color w:val="000000" w:themeColor="text1"/>
          <w:sz w:val="28"/>
        </w:rPr>
        <w:t xml:space="preserve">being </w:t>
      </w:r>
      <w:r w:rsidRPr="003E5C4C">
        <w:rPr>
          <w:rStyle w:val="Strong"/>
          <w:rFonts w:asciiTheme="majorBidi" w:hAnsiTheme="majorBidi" w:cstheme="majorBidi"/>
          <w:b w:val="0"/>
          <w:sz w:val="28"/>
        </w:rPr>
        <w:t>redirected</w:t>
      </w:r>
      <w:r w:rsidRPr="003E5C4C">
        <w:rPr>
          <w:rFonts w:asciiTheme="majorBidi" w:hAnsiTheme="majorBidi" w:cstheme="majorBidi"/>
          <w:color w:val="000000" w:themeColor="text1"/>
          <w:sz w:val="28"/>
        </w:rPr>
        <w:t xml:space="preserve"> </w:t>
      </w:r>
      <w:r w:rsidR="00042B46" w:rsidRPr="003E5C4C">
        <w:rPr>
          <w:rFonts w:asciiTheme="majorBidi" w:hAnsiTheme="majorBidi" w:cstheme="majorBidi"/>
          <w:color w:val="000000" w:themeColor="text1"/>
          <w:sz w:val="28"/>
        </w:rPr>
        <w:t>away from the classroom</w:t>
      </w:r>
      <w:r w:rsidRPr="003E5C4C">
        <w:rPr>
          <w:rFonts w:asciiTheme="majorBidi" w:hAnsiTheme="majorBidi" w:cstheme="majorBidi"/>
          <w:color w:val="000000" w:themeColor="text1"/>
          <w:sz w:val="28"/>
        </w:rPr>
        <w:t xml:space="preserve">.  It also reveals a </w:t>
      </w:r>
      <w:r w:rsidRPr="003E5C4C">
        <w:rPr>
          <w:rStyle w:val="Strong"/>
          <w:rFonts w:asciiTheme="majorBidi" w:hAnsiTheme="majorBidi" w:cstheme="majorBidi"/>
          <w:b w:val="0"/>
          <w:sz w:val="28"/>
        </w:rPr>
        <w:t>stark contrast in hiring practices between Faculty and Administrative positions in the last 10 years.  The committee would like to accentuat</w:t>
      </w:r>
      <w:r w:rsidR="00116172">
        <w:rPr>
          <w:rStyle w:val="Strong"/>
          <w:rFonts w:asciiTheme="majorBidi" w:hAnsiTheme="majorBidi" w:cstheme="majorBidi"/>
          <w:b w:val="0"/>
          <w:sz w:val="28"/>
        </w:rPr>
        <w:t>e</w:t>
      </w:r>
      <w:r w:rsidRPr="003E5C4C">
        <w:rPr>
          <w:rStyle w:val="Strong"/>
          <w:rFonts w:asciiTheme="majorBidi" w:hAnsiTheme="majorBidi" w:cstheme="majorBidi"/>
          <w:b w:val="0"/>
          <w:sz w:val="28"/>
        </w:rPr>
        <w:t xml:space="preserve"> the significant increase in Administrative positions from 2014 to 2016 </w:t>
      </w:r>
      <w:r w:rsidR="00116172">
        <w:rPr>
          <w:rStyle w:val="Strong"/>
          <w:rFonts w:asciiTheme="majorBidi" w:hAnsiTheme="majorBidi" w:cstheme="majorBidi"/>
          <w:b w:val="0"/>
          <w:sz w:val="28"/>
        </w:rPr>
        <w:t xml:space="preserve">(425 to 490, or 15%) </w:t>
      </w:r>
      <w:r w:rsidRPr="003E5C4C">
        <w:rPr>
          <w:rStyle w:val="Strong"/>
          <w:rFonts w:asciiTheme="majorBidi" w:hAnsiTheme="majorBidi" w:cstheme="majorBidi"/>
          <w:b w:val="0"/>
          <w:sz w:val="28"/>
        </w:rPr>
        <w:t xml:space="preserve">and </w:t>
      </w:r>
      <w:r w:rsidR="0037377C">
        <w:rPr>
          <w:rStyle w:val="Strong"/>
          <w:rFonts w:asciiTheme="majorBidi" w:hAnsiTheme="majorBidi" w:cstheme="majorBidi"/>
          <w:b w:val="0"/>
          <w:sz w:val="28"/>
        </w:rPr>
        <w:t>seeks</w:t>
      </w:r>
      <w:r w:rsidRPr="003E5C4C">
        <w:rPr>
          <w:rStyle w:val="Strong"/>
          <w:rFonts w:asciiTheme="majorBidi" w:hAnsiTheme="majorBidi" w:cstheme="majorBidi"/>
          <w:b w:val="0"/>
          <w:sz w:val="28"/>
        </w:rPr>
        <w:t xml:space="preserve"> an explanation for this escalation.  Further, the committee </w:t>
      </w:r>
      <w:r w:rsidR="0037377C">
        <w:rPr>
          <w:rStyle w:val="Strong"/>
          <w:rFonts w:asciiTheme="majorBidi" w:hAnsiTheme="majorBidi" w:cstheme="majorBidi"/>
          <w:b w:val="0"/>
          <w:sz w:val="28"/>
        </w:rPr>
        <w:t>is</w:t>
      </w:r>
      <w:r w:rsidR="00EC7D4B" w:rsidRPr="003E5C4C">
        <w:rPr>
          <w:rStyle w:val="Strong"/>
          <w:rFonts w:asciiTheme="majorBidi" w:hAnsiTheme="majorBidi" w:cstheme="majorBidi"/>
          <w:b w:val="0"/>
          <w:sz w:val="28"/>
        </w:rPr>
        <w:t xml:space="preserve"> concern</w:t>
      </w:r>
      <w:r w:rsidR="0037377C">
        <w:rPr>
          <w:rStyle w:val="Strong"/>
          <w:rFonts w:asciiTheme="majorBidi" w:hAnsiTheme="majorBidi" w:cstheme="majorBidi"/>
          <w:b w:val="0"/>
          <w:sz w:val="28"/>
        </w:rPr>
        <w:t>ed</w:t>
      </w:r>
      <w:r w:rsidR="00EC7D4B" w:rsidRPr="003E5C4C">
        <w:rPr>
          <w:rStyle w:val="Strong"/>
          <w:rFonts w:asciiTheme="majorBidi" w:hAnsiTheme="majorBidi" w:cstheme="majorBidi"/>
          <w:b w:val="0"/>
          <w:sz w:val="28"/>
        </w:rPr>
        <w:t xml:space="preserve"> </w:t>
      </w:r>
      <w:r w:rsidRPr="003E5C4C">
        <w:rPr>
          <w:rStyle w:val="Strong"/>
          <w:rFonts w:asciiTheme="majorBidi" w:hAnsiTheme="majorBidi" w:cstheme="majorBidi"/>
          <w:b w:val="0"/>
          <w:sz w:val="28"/>
        </w:rPr>
        <w:t>that continued resource drains</w:t>
      </w:r>
      <w:r w:rsidR="00EC7D4B" w:rsidRPr="003E5C4C">
        <w:rPr>
          <w:rStyle w:val="Strong"/>
          <w:rFonts w:asciiTheme="majorBidi" w:hAnsiTheme="majorBidi" w:cstheme="majorBidi"/>
          <w:b w:val="0"/>
          <w:sz w:val="28"/>
        </w:rPr>
        <w:t xml:space="preserve"> from teaching resources</w:t>
      </w:r>
      <w:r w:rsidRPr="003E5C4C">
        <w:rPr>
          <w:rStyle w:val="Strong"/>
          <w:rFonts w:asciiTheme="majorBidi" w:hAnsiTheme="majorBidi" w:cstheme="majorBidi"/>
          <w:b w:val="0"/>
          <w:sz w:val="28"/>
        </w:rPr>
        <w:t xml:space="preserve"> may impair student success and decrease graduation rates</w:t>
      </w:r>
      <w:r w:rsidR="00042B46" w:rsidRPr="003E5C4C">
        <w:rPr>
          <w:rStyle w:val="Strong"/>
          <w:rFonts w:asciiTheme="majorBidi" w:hAnsiTheme="majorBidi" w:cstheme="majorBidi"/>
          <w:b w:val="0"/>
          <w:sz w:val="28"/>
        </w:rPr>
        <w:t>.</w:t>
      </w:r>
    </w:p>
    <w:p w:rsidR="00304AE3" w:rsidRPr="00304AE3" w:rsidRDefault="00304AE3" w:rsidP="003E5C4C">
      <w:pPr>
        <w:pStyle w:val="NoSpacing"/>
        <w:rPr>
          <w:rStyle w:val="Strong"/>
          <w:rFonts w:ascii="Times New Roman" w:hAnsi="Times New Roman" w:cs="Times New Roman"/>
          <w:sz w:val="28"/>
        </w:rPr>
      </w:pPr>
    </w:p>
    <w:p w:rsidR="0016735E" w:rsidRPr="003E5C4C" w:rsidRDefault="0016735E" w:rsidP="003E5C4C">
      <w:pPr>
        <w:pStyle w:val="NoSpacing"/>
        <w:rPr>
          <w:rStyle w:val="Strong"/>
          <w:rFonts w:ascii="Times New Roman" w:hAnsi="Times New Roman" w:cs="Times New Roman"/>
          <w:color w:val="FF0000"/>
          <w:sz w:val="28"/>
          <w:szCs w:val="28"/>
        </w:rPr>
      </w:pPr>
      <w:r w:rsidRPr="003E5C4C">
        <w:rPr>
          <w:rStyle w:val="Strong"/>
          <w:rFonts w:ascii="Times New Roman" w:hAnsi="Times New Roman" w:cs="Times New Roman"/>
          <w:sz w:val="28"/>
          <w:szCs w:val="28"/>
        </w:rPr>
        <w:t xml:space="preserve">Figure </w:t>
      </w:r>
      <w:r w:rsidR="00464DB0" w:rsidRPr="003E5C4C">
        <w:rPr>
          <w:rStyle w:val="Strong"/>
          <w:rFonts w:ascii="Times New Roman" w:hAnsi="Times New Roman" w:cs="Times New Roman"/>
          <w:sz w:val="28"/>
          <w:szCs w:val="28"/>
        </w:rPr>
        <w:t>5:</w:t>
      </w:r>
      <w:r w:rsidRPr="003E5C4C">
        <w:rPr>
          <w:rStyle w:val="Strong"/>
          <w:rFonts w:ascii="Times New Roman" w:hAnsi="Times New Roman" w:cs="Times New Roman"/>
          <w:sz w:val="28"/>
          <w:szCs w:val="28"/>
        </w:rPr>
        <w:t xml:space="preserve"> </w:t>
      </w:r>
      <w:r w:rsidR="0097536F" w:rsidRPr="003E5C4C">
        <w:rPr>
          <w:rStyle w:val="Strong"/>
          <w:rFonts w:ascii="Times New Roman" w:hAnsi="Times New Roman" w:cs="Times New Roman"/>
          <w:sz w:val="28"/>
          <w:szCs w:val="28"/>
        </w:rPr>
        <w:t xml:space="preserve"> </w:t>
      </w:r>
      <w:r w:rsidR="0097536F" w:rsidRPr="003E5C4C">
        <w:rPr>
          <w:rFonts w:ascii="Times New Roman" w:hAnsi="Times New Roman" w:cs="Times New Roman"/>
          <w:b/>
          <w:sz w:val="28"/>
          <w:szCs w:val="28"/>
        </w:rPr>
        <w:t>Trends of Administrative and Faculty Positions over 10 years</w:t>
      </w:r>
    </w:p>
    <w:p w:rsidR="008C7F7A" w:rsidRPr="003E5C4C" w:rsidRDefault="00D63956">
      <w:pPr>
        <w:rPr>
          <w:rStyle w:val="Strong"/>
          <w:rFonts w:asciiTheme="majorBidi" w:eastAsia="Times New Roman" w:hAnsiTheme="majorBidi" w:cstheme="majorBidi"/>
          <w:color w:val="000000" w:themeColor="text1"/>
          <w:sz w:val="32"/>
          <w:szCs w:val="24"/>
        </w:rPr>
      </w:pPr>
      <w:r w:rsidRPr="003E5C4C">
        <w:rPr>
          <w:noProof/>
          <w:sz w:val="28"/>
        </w:rPr>
        <w:drawing>
          <wp:inline distT="0" distB="0" distL="0" distR="0" wp14:anchorId="7FC4C1FA" wp14:editId="3A528A82">
            <wp:extent cx="4333875" cy="25431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C7F7A" w:rsidRPr="003E5C4C">
        <w:rPr>
          <w:rStyle w:val="Strong"/>
          <w:rFonts w:asciiTheme="majorBidi" w:hAnsiTheme="majorBidi" w:cstheme="majorBidi"/>
          <w:color w:val="000000" w:themeColor="text1"/>
          <w:sz w:val="28"/>
        </w:rPr>
        <w:br w:type="page"/>
      </w:r>
    </w:p>
    <w:p w:rsidR="00145C9A" w:rsidRPr="003E5C4C" w:rsidRDefault="00145C9A" w:rsidP="00010C98">
      <w:pPr>
        <w:pStyle w:val="NormalWeb"/>
        <w:jc w:val="both"/>
        <w:rPr>
          <w:rFonts w:asciiTheme="majorBidi" w:hAnsiTheme="majorBidi" w:cstheme="majorBidi"/>
          <w:color w:val="000000" w:themeColor="text1"/>
          <w:sz w:val="32"/>
        </w:rPr>
      </w:pPr>
      <w:r w:rsidRPr="003E5C4C">
        <w:rPr>
          <w:rStyle w:val="Strong"/>
          <w:rFonts w:asciiTheme="majorBidi" w:hAnsiTheme="majorBidi" w:cstheme="majorBidi"/>
          <w:color w:val="000000" w:themeColor="text1"/>
          <w:sz w:val="32"/>
        </w:rPr>
        <w:lastRenderedPageBreak/>
        <w:t>Conclusion</w:t>
      </w:r>
    </w:p>
    <w:p w:rsidR="00AF2D17" w:rsidRPr="003E5C4C" w:rsidRDefault="00AF2D17" w:rsidP="00444494">
      <w:pPr>
        <w:jc w:val="both"/>
        <w:rPr>
          <w:rFonts w:asciiTheme="majorBidi" w:hAnsiTheme="majorBidi" w:cstheme="majorBidi"/>
          <w:color w:val="000000" w:themeColor="text1"/>
          <w:sz w:val="28"/>
        </w:rPr>
      </w:pPr>
      <w:r w:rsidRPr="003E5C4C">
        <w:rPr>
          <w:rFonts w:asciiTheme="majorBidi" w:hAnsiTheme="majorBidi" w:cstheme="majorBidi"/>
          <w:color w:val="000000" w:themeColor="text1"/>
          <w:sz w:val="28"/>
        </w:rPr>
        <w:t xml:space="preserve">The first main point we wish to highlight with this report concerns the </w:t>
      </w:r>
      <w:r w:rsidR="0037377C">
        <w:rPr>
          <w:rFonts w:asciiTheme="majorBidi" w:hAnsiTheme="majorBidi" w:cstheme="majorBidi"/>
          <w:color w:val="000000" w:themeColor="text1"/>
          <w:sz w:val="28"/>
        </w:rPr>
        <w:t>im</w:t>
      </w:r>
      <w:r w:rsidRPr="003E5C4C">
        <w:rPr>
          <w:rFonts w:asciiTheme="majorBidi" w:hAnsiTheme="majorBidi" w:cstheme="majorBidi"/>
          <w:color w:val="000000" w:themeColor="text1"/>
          <w:sz w:val="28"/>
        </w:rPr>
        <w:t xml:space="preserve">balance between Tenured/Tenure-Track faculty and temporary faculty.  We should also take </w:t>
      </w:r>
      <w:r w:rsidR="00824EB7" w:rsidRPr="003E5C4C">
        <w:rPr>
          <w:rFonts w:asciiTheme="majorBidi" w:hAnsiTheme="majorBidi" w:cstheme="majorBidi"/>
          <w:color w:val="000000" w:themeColor="text1"/>
          <w:sz w:val="28"/>
        </w:rPr>
        <w:t xml:space="preserve">steps </w:t>
      </w:r>
      <w:r w:rsidRPr="003E5C4C">
        <w:rPr>
          <w:rFonts w:asciiTheme="majorBidi" w:hAnsiTheme="majorBidi" w:cstheme="majorBidi"/>
          <w:color w:val="000000" w:themeColor="text1"/>
          <w:sz w:val="28"/>
        </w:rPr>
        <w:t xml:space="preserve">to address making those goals in the Handbook a reality.  The second point is the continued unexpected addition of administrators, which diverts resources away from the classroom.  Finally, we recommend that </w:t>
      </w:r>
      <w:r w:rsidR="00444494" w:rsidRPr="003E5C4C">
        <w:rPr>
          <w:rFonts w:asciiTheme="majorBidi" w:hAnsiTheme="majorBidi" w:cstheme="majorBidi"/>
          <w:color w:val="000000" w:themeColor="text1"/>
          <w:sz w:val="28"/>
        </w:rPr>
        <w:t xml:space="preserve">the University </w:t>
      </w:r>
      <w:r w:rsidRPr="003E5C4C">
        <w:rPr>
          <w:rFonts w:asciiTheme="majorBidi" w:hAnsiTheme="majorBidi" w:cstheme="majorBidi"/>
          <w:color w:val="000000" w:themeColor="text1"/>
          <w:sz w:val="28"/>
        </w:rPr>
        <w:t xml:space="preserve">create a </w:t>
      </w:r>
      <w:r w:rsidR="00444494" w:rsidRPr="003E5C4C">
        <w:rPr>
          <w:rFonts w:asciiTheme="majorBidi" w:hAnsiTheme="majorBidi" w:cstheme="majorBidi"/>
          <w:color w:val="000000" w:themeColor="text1"/>
          <w:sz w:val="28"/>
        </w:rPr>
        <w:t xml:space="preserve">concrete </w:t>
      </w:r>
      <w:r w:rsidRPr="003E5C4C">
        <w:rPr>
          <w:rFonts w:asciiTheme="majorBidi" w:hAnsiTheme="majorBidi" w:cstheme="majorBidi"/>
          <w:color w:val="000000" w:themeColor="text1"/>
          <w:sz w:val="28"/>
        </w:rPr>
        <w:t>p</w:t>
      </w:r>
      <w:r w:rsidR="00444494" w:rsidRPr="003E5C4C">
        <w:rPr>
          <w:rFonts w:asciiTheme="majorBidi" w:hAnsiTheme="majorBidi" w:cstheme="majorBidi"/>
          <w:color w:val="000000" w:themeColor="text1"/>
          <w:sz w:val="28"/>
        </w:rPr>
        <w:t xml:space="preserve">lan to address the </w:t>
      </w:r>
      <w:r w:rsidR="0037377C">
        <w:rPr>
          <w:rFonts w:asciiTheme="majorBidi" w:hAnsiTheme="majorBidi" w:cstheme="majorBidi"/>
          <w:color w:val="000000" w:themeColor="text1"/>
          <w:sz w:val="28"/>
        </w:rPr>
        <w:t>im</w:t>
      </w:r>
      <w:r w:rsidR="00444494" w:rsidRPr="003E5C4C">
        <w:rPr>
          <w:rFonts w:asciiTheme="majorBidi" w:hAnsiTheme="majorBidi" w:cstheme="majorBidi"/>
          <w:color w:val="000000" w:themeColor="text1"/>
          <w:sz w:val="28"/>
        </w:rPr>
        <w:t xml:space="preserve">balance between T/TT and non-T/TT faculty, and the decline of teaching faculty and the growth of administrative hiring. </w:t>
      </w:r>
      <w:r w:rsidR="00824EB7" w:rsidRPr="003E5C4C">
        <w:rPr>
          <w:rFonts w:asciiTheme="majorBidi" w:hAnsiTheme="majorBidi" w:cstheme="majorBidi"/>
          <w:color w:val="000000" w:themeColor="text1"/>
          <w:sz w:val="28"/>
        </w:rPr>
        <w:t xml:space="preserve">If there is no actual plan to move the University toward the 70/15/15 goal, then future Staffing Reports will likely continue to reflect similar data and similar concerns. </w:t>
      </w:r>
    </w:p>
    <w:p w:rsidR="00D63956" w:rsidRPr="003E5C4C" w:rsidRDefault="00AF2D17">
      <w:pPr>
        <w:jc w:val="both"/>
        <w:rPr>
          <w:rFonts w:asciiTheme="majorBidi" w:hAnsiTheme="majorBidi" w:cstheme="majorBidi"/>
          <w:sz w:val="28"/>
        </w:rPr>
      </w:pPr>
      <w:r w:rsidRPr="003E5C4C">
        <w:rPr>
          <w:rFonts w:asciiTheme="majorBidi" w:hAnsiTheme="majorBidi" w:cstheme="majorBidi"/>
          <w:color w:val="000000" w:themeColor="text1"/>
          <w:sz w:val="28"/>
        </w:rPr>
        <w:t>The data in this latest Staffing Report continue</w:t>
      </w:r>
      <w:r w:rsidR="00444494" w:rsidRPr="003E5C4C">
        <w:rPr>
          <w:rFonts w:asciiTheme="majorBidi" w:hAnsiTheme="majorBidi" w:cstheme="majorBidi"/>
          <w:color w:val="000000" w:themeColor="text1"/>
          <w:sz w:val="28"/>
        </w:rPr>
        <w:t xml:space="preserve"> to show </w:t>
      </w:r>
      <w:r w:rsidRPr="003E5C4C">
        <w:rPr>
          <w:rFonts w:asciiTheme="majorBidi" w:hAnsiTheme="majorBidi" w:cstheme="majorBidi"/>
          <w:color w:val="000000" w:themeColor="text1"/>
          <w:sz w:val="28"/>
        </w:rPr>
        <w:t>the discrepancies between goal</w:t>
      </w:r>
      <w:r w:rsidR="00444494" w:rsidRPr="003E5C4C">
        <w:rPr>
          <w:rFonts w:asciiTheme="majorBidi" w:hAnsiTheme="majorBidi" w:cstheme="majorBidi"/>
          <w:color w:val="000000" w:themeColor="text1"/>
          <w:sz w:val="28"/>
        </w:rPr>
        <w:t>s and realities</w:t>
      </w:r>
      <w:r w:rsidRPr="003E5C4C">
        <w:rPr>
          <w:rFonts w:asciiTheme="majorBidi" w:hAnsiTheme="majorBidi" w:cstheme="majorBidi"/>
          <w:color w:val="000000" w:themeColor="text1"/>
          <w:sz w:val="28"/>
        </w:rPr>
        <w:t>. If the University community truly wants to work proactively toward the 70/15/15 or even the 65% goal then specific goals and timelines need to be developed, and annual success or failure needs to be addressed.</w:t>
      </w:r>
      <w:r w:rsidR="004A744C" w:rsidRPr="003E5C4C">
        <w:rPr>
          <w:rFonts w:asciiTheme="majorBidi" w:hAnsiTheme="majorBidi" w:cstheme="majorBidi"/>
          <w:color w:val="000000" w:themeColor="text1"/>
          <w:sz w:val="28"/>
        </w:rPr>
        <w:t xml:space="preserve"> Growth in the student population requires growth in the teaching population. </w:t>
      </w:r>
      <w:r w:rsidR="00464DB0" w:rsidRPr="003E5C4C">
        <w:rPr>
          <w:rFonts w:asciiTheme="majorBidi" w:hAnsiTheme="majorBidi" w:cstheme="majorBidi"/>
          <w:color w:val="000000" w:themeColor="text1"/>
          <w:sz w:val="28"/>
        </w:rPr>
        <w:t>Maintaining the s</w:t>
      </w:r>
      <w:r w:rsidR="004A744C" w:rsidRPr="003E5C4C">
        <w:rPr>
          <w:rFonts w:asciiTheme="majorBidi" w:hAnsiTheme="majorBidi" w:cstheme="majorBidi"/>
          <w:color w:val="000000" w:themeColor="text1"/>
          <w:sz w:val="28"/>
        </w:rPr>
        <w:t xml:space="preserve">tatus quo or decreasing the teaching population will result in an overall inability to </w:t>
      </w:r>
      <w:r w:rsidR="0037377C">
        <w:rPr>
          <w:rFonts w:asciiTheme="majorBidi" w:hAnsiTheme="majorBidi" w:cstheme="majorBidi"/>
          <w:color w:val="000000" w:themeColor="text1"/>
          <w:sz w:val="28"/>
        </w:rPr>
        <w:t>accomplish</w:t>
      </w:r>
      <w:r w:rsidR="004A744C" w:rsidRPr="003E5C4C">
        <w:rPr>
          <w:rFonts w:asciiTheme="majorBidi" w:hAnsiTheme="majorBidi" w:cstheme="majorBidi"/>
          <w:color w:val="000000" w:themeColor="text1"/>
          <w:sz w:val="28"/>
        </w:rPr>
        <w:t xml:space="preserve"> our educational mission. </w:t>
      </w:r>
    </w:p>
    <w:sectPr w:rsidR="00D63956" w:rsidRPr="003E5C4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86" w:rsidRDefault="007D2886" w:rsidP="00D63956">
      <w:pPr>
        <w:spacing w:after="0" w:line="240" w:lineRule="auto"/>
      </w:pPr>
      <w:r>
        <w:separator/>
      </w:r>
    </w:p>
  </w:endnote>
  <w:endnote w:type="continuationSeparator" w:id="0">
    <w:p w:rsidR="007D2886" w:rsidRDefault="007D2886" w:rsidP="00D6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46" w:rsidRDefault="00813D46">
    <w:pPr>
      <w:pStyle w:val="Footer"/>
    </w:pPr>
  </w:p>
  <w:p w:rsidR="00813D46" w:rsidRDefault="0081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86" w:rsidRDefault="007D2886" w:rsidP="00D63956">
      <w:pPr>
        <w:spacing w:after="0" w:line="240" w:lineRule="auto"/>
      </w:pPr>
      <w:r>
        <w:separator/>
      </w:r>
    </w:p>
  </w:footnote>
  <w:footnote w:type="continuationSeparator" w:id="0">
    <w:p w:rsidR="007D2886" w:rsidRDefault="007D2886" w:rsidP="00D63956">
      <w:pPr>
        <w:spacing w:after="0" w:line="240" w:lineRule="auto"/>
      </w:pPr>
      <w:r>
        <w:continuationSeparator/>
      </w:r>
    </w:p>
  </w:footnote>
  <w:footnote w:id="1">
    <w:p w:rsidR="00653541" w:rsidRDefault="00653541">
      <w:pPr>
        <w:pStyle w:val="FootnoteText"/>
      </w:pPr>
      <w:r>
        <w:rPr>
          <w:rStyle w:val="FootnoteReference"/>
        </w:rPr>
        <w:footnoteRef/>
      </w:r>
      <w:r>
        <w:t xml:space="preserve"> This includes SCH generated by Grad Assistants and administrators/others</w:t>
      </w:r>
    </w:p>
  </w:footnote>
  <w:footnote w:id="2">
    <w:p w:rsidR="00653541" w:rsidRDefault="00653541">
      <w:pPr>
        <w:pStyle w:val="FootnoteText"/>
      </w:pPr>
      <w:r>
        <w:rPr>
          <w:rStyle w:val="FootnoteReference"/>
        </w:rPr>
        <w:footnoteRef/>
      </w:r>
      <w:r>
        <w:t xml:space="preserve"> This includes SCH generated by Grad Assistants and administrators/others</w:t>
      </w:r>
    </w:p>
  </w:footnote>
  <w:footnote w:id="3">
    <w:p w:rsidR="00653541" w:rsidRDefault="00653541">
      <w:pPr>
        <w:pStyle w:val="FootnoteText"/>
      </w:pPr>
      <w:r>
        <w:rPr>
          <w:rStyle w:val="FootnoteReference"/>
        </w:rPr>
        <w:footnoteRef/>
      </w:r>
      <w:r>
        <w:t xml:space="preserve"> Source:  Office of Institutional Research</w:t>
      </w:r>
    </w:p>
  </w:footnote>
  <w:footnote w:id="4">
    <w:p w:rsidR="00653541" w:rsidRPr="00A01453" w:rsidRDefault="00653541">
      <w:pPr>
        <w:pStyle w:val="FootnoteText"/>
      </w:pPr>
      <w:r>
        <w:rPr>
          <w:rStyle w:val="FootnoteReference"/>
        </w:rPr>
        <w:footnoteRef/>
      </w:r>
      <w:r>
        <w:t xml:space="preserve"> </w:t>
      </w:r>
      <w:r w:rsidRPr="00A01453">
        <w:t>Source:  Human Resources Staffing Report</w:t>
      </w:r>
    </w:p>
  </w:footnote>
  <w:footnote w:id="5">
    <w:p w:rsidR="00653541" w:rsidRPr="00A01453" w:rsidRDefault="00653541" w:rsidP="003E5C4C">
      <w:pPr>
        <w:pStyle w:val="NoSpacing"/>
      </w:pPr>
      <w:r w:rsidRPr="00A01453">
        <w:rPr>
          <w:rStyle w:val="FootnoteReference"/>
          <w:sz w:val="20"/>
          <w:szCs w:val="20"/>
        </w:rPr>
        <w:footnoteRef/>
      </w:r>
      <w:r w:rsidRPr="00A01453">
        <w:rPr>
          <w:sz w:val="20"/>
          <w:szCs w:val="20"/>
        </w:rPr>
        <w:t xml:space="preserve"> These adjustments are made for the calculation of student/faculty ratios on the Fall Faculty FTE SCH &amp; S/F Ratio Report.</w:t>
      </w:r>
    </w:p>
  </w:footnote>
  <w:footnote w:id="6">
    <w:p w:rsidR="00653541" w:rsidRDefault="00653541">
      <w:pPr>
        <w:pStyle w:val="FootnoteText"/>
      </w:pPr>
      <w:r w:rsidRPr="00A01453">
        <w:rPr>
          <w:rStyle w:val="FootnoteReference"/>
        </w:rPr>
        <w:footnoteRef/>
      </w:r>
      <w:r w:rsidRPr="00A01453">
        <w:t xml:space="preserve"> Source:  Human Resources Staffing Report</w:t>
      </w:r>
    </w:p>
  </w:footnote>
  <w:footnote w:id="7">
    <w:p w:rsidR="00304AE3" w:rsidRDefault="00304AE3">
      <w:pPr>
        <w:pStyle w:val="FootnoteText"/>
      </w:pPr>
      <w:r>
        <w:rPr>
          <w:rStyle w:val="FootnoteReference"/>
        </w:rPr>
        <w:footnoteRef/>
      </w:r>
      <w:r>
        <w:t xml:space="preserve"> Source:  Institutional Research Common Data Set</w:t>
      </w:r>
    </w:p>
  </w:footnote>
  <w:footnote w:id="8">
    <w:p w:rsidR="00653541" w:rsidRPr="00A01453" w:rsidRDefault="00653541">
      <w:pPr>
        <w:pStyle w:val="FootnoteText"/>
      </w:pPr>
      <w:r w:rsidRPr="00A01453">
        <w:rPr>
          <w:rStyle w:val="FootnoteReference"/>
        </w:rPr>
        <w:footnoteRef/>
      </w:r>
      <w:r w:rsidRPr="00A01453">
        <w:t xml:space="preserve"> Source:  Human Resources October 1 Staffing Report</w:t>
      </w:r>
    </w:p>
  </w:footnote>
  <w:footnote w:id="9">
    <w:p w:rsidR="00653541" w:rsidRPr="003E5C4C" w:rsidRDefault="00653541" w:rsidP="003E5C4C">
      <w:pPr>
        <w:pStyle w:val="NoSpacing"/>
        <w:rPr>
          <w:b/>
        </w:rPr>
      </w:pPr>
      <w:r w:rsidRPr="00A01453">
        <w:rPr>
          <w:rStyle w:val="FootnoteReference"/>
          <w:sz w:val="20"/>
          <w:szCs w:val="20"/>
        </w:rPr>
        <w:footnoteRef/>
      </w:r>
      <w:r w:rsidRPr="00A01453">
        <w:rPr>
          <w:sz w:val="20"/>
          <w:szCs w:val="20"/>
        </w:rPr>
        <w:t xml:space="preserve"> The</w:t>
      </w:r>
      <w:r w:rsidRPr="00A01453">
        <w:rPr>
          <w:b/>
          <w:sz w:val="20"/>
          <w:szCs w:val="20"/>
        </w:rPr>
        <w:t xml:space="preserve"> </w:t>
      </w:r>
      <w:r w:rsidRPr="003E5C4C">
        <w:rPr>
          <w:sz w:val="20"/>
          <w:szCs w:val="20"/>
        </w:rPr>
        <w:t>2016 report includes Foundation employees and salary that were not included in 2015.</w:t>
      </w:r>
    </w:p>
  </w:footnote>
  <w:footnote w:id="10">
    <w:p w:rsidR="00653541" w:rsidRPr="00A01453" w:rsidRDefault="00653541">
      <w:pPr>
        <w:pStyle w:val="FootnoteText"/>
      </w:pPr>
      <w:r w:rsidRPr="00A01453">
        <w:rPr>
          <w:rStyle w:val="FootnoteReference"/>
        </w:rPr>
        <w:footnoteRef/>
      </w:r>
      <w:r w:rsidRPr="00A01453">
        <w:t xml:space="preserve"> The</w:t>
      </w:r>
      <w:r w:rsidRPr="00A01453">
        <w:rPr>
          <w:b/>
        </w:rPr>
        <w:t xml:space="preserve"> </w:t>
      </w:r>
      <w:r w:rsidRPr="00A01453">
        <w:t>2016 report includes Foundation employees and salary that were not included in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46" w:rsidRDefault="00813D46" w:rsidP="003E5C4C">
    <w:pPr>
      <w:pStyle w:val="Header"/>
      <w:ind w:right="360"/>
    </w:pPr>
    <w:r>
      <w:t>Approved 4/18/17, 5-0-0</w:t>
    </w:r>
  </w:p>
  <w:p w:rsidR="00813D46" w:rsidRDefault="00813D46">
    <w:pPr>
      <w:pStyle w:val="Header"/>
    </w:pPr>
  </w:p>
  <w:p w:rsidR="00D63956" w:rsidRDefault="00D63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15C67"/>
    <w:multiLevelType w:val="hybridMultilevel"/>
    <w:tmpl w:val="A760B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9A"/>
    <w:rsid w:val="00006FAC"/>
    <w:rsid w:val="00010C98"/>
    <w:rsid w:val="00042B46"/>
    <w:rsid w:val="0006260F"/>
    <w:rsid w:val="000E0E64"/>
    <w:rsid w:val="00116172"/>
    <w:rsid w:val="00132C0E"/>
    <w:rsid w:val="00145C9A"/>
    <w:rsid w:val="0016735E"/>
    <w:rsid w:val="001A3E3E"/>
    <w:rsid w:val="001E69B2"/>
    <w:rsid w:val="002030A7"/>
    <w:rsid w:val="00204884"/>
    <w:rsid w:val="002915EE"/>
    <w:rsid w:val="002C457C"/>
    <w:rsid w:val="00304AE3"/>
    <w:rsid w:val="003207D9"/>
    <w:rsid w:val="003470D1"/>
    <w:rsid w:val="0037377C"/>
    <w:rsid w:val="003E5C4C"/>
    <w:rsid w:val="00414806"/>
    <w:rsid w:val="00444494"/>
    <w:rsid w:val="00464DB0"/>
    <w:rsid w:val="004A744C"/>
    <w:rsid w:val="004D7E14"/>
    <w:rsid w:val="004F3D99"/>
    <w:rsid w:val="004F4AC1"/>
    <w:rsid w:val="00500755"/>
    <w:rsid w:val="00536430"/>
    <w:rsid w:val="00543AF0"/>
    <w:rsid w:val="005B0073"/>
    <w:rsid w:val="006265BC"/>
    <w:rsid w:val="0063515C"/>
    <w:rsid w:val="00653541"/>
    <w:rsid w:val="006539B0"/>
    <w:rsid w:val="006D03D2"/>
    <w:rsid w:val="00784C01"/>
    <w:rsid w:val="007B639E"/>
    <w:rsid w:val="007D2886"/>
    <w:rsid w:val="007E0D2A"/>
    <w:rsid w:val="00811985"/>
    <w:rsid w:val="00813D46"/>
    <w:rsid w:val="0081630E"/>
    <w:rsid w:val="00824EB7"/>
    <w:rsid w:val="008C7F7A"/>
    <w:rsid w:val="008F6E90"/>
    <w:rsid w:val="00940E01"/>
    <w:rsid w:val="00945B5B"/>
    <w:rsid w:val="0097536F"/>
    <w:rsid w:val="009F5C0F"/>
    <w:rsid w:val="00A01453"/>
    <w:rsid w:val="00A12161"/>
    <w:rsid w:val="00A624DD"/>
    <w:rsid w:val="00A71453"/>
    <w:rsid w:val="00A73994"/>
    <w:rsid w:val="00AD7019"/>
    <w:rsid w:val="00AF2D17"/>
    <w:rsid w:val="00B107D5"/>
    <w:rsid w:val="00B15BE3"/>
    <w:rsid w:val="00B8436C"/>
    <w:rsid w:val="00BB635D"/>
    <w:rsid w:val="00BD5063"/>
    <w:rsid w:val="00C33653"/>
    <w:rsid w:val="00C83537"/>
    <w:rsid w:val="00D049B6"/>
    <w:rsid w:val="00D23BC3"/>
    <w:rsid w:val="00D422BE"/>
    <w:rsid w:val="00D5170C"/>
    <w:rsid w:val="00D63956"/>
    <w:rsid w:val="00DC5C05"/>
    <w:rsid w:val="00DF427A"/>
    <w:rsid w:val="00DF53D8"/>
    <w:rsid w:val="00E81467"/>
    <w:rsid w:val="00EC7D4B"/>
    <w:rsid w:val="00F36FE7"/>
    <w:rsid w:val="00F5293C"/>
    <w:rsid w:val="00F73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FBEA6-47B6-45A1-9283-15663E81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D5"/>
  </w:style>
  <w:style w:type="paragraph" w:styleId="Heading4">
    <w:name w:val="heading 4"/>
    <w:basedOn w:val="Normal"/>
    <w:link w:val="Heading4Char"/>
    <w:uiPriority w:val="9"/>
    <w:qFormat/>
    <w:rsid w:val="00B107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107D5"/>
    <w:rPr>
      <w:rFonts w:ascii="Times New Roman" w:eastAsia="Times New Roman" w:hAnsi="Times New Roman" w:cs="Times New Roman"/>
      <w:b/>
      <w:bCs/>
      <w:sz w:val="24"/>
      <w:szCs w:val="24"/>
    </w:rPr>
  </w:style>
  <w:style w:type="character" w:styleId="Strong">
    <w:name w:val="Strong"/>
    <w:basedOn w:val="DefaultParagraphFont"/>
    <w:uiPriority w:val="22"/>
    <w:qFormat/>
    <w:rsid w:val="00B107D5"/>
    <w:rPr>
      <w:b/>
      <w:bCs/>
    </w:rPr>
  </w:style>
  <w:style w:type="paragraph" w:styleId="NormalWeb">
    <w:name w:val="Normal (Web)"/>
    <w:basedOn w:val="Normal"/>
    <w:uiPriority w:val="99"/>
    <w:unhideWhenUsed/>
    <w:rsid w:val="00145C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5C9A"/>
    <w:pPr>
      <w:ind w:left="720"/>
      <w:contextualSpacing/>
    </w:pPr>
  </w:style>
  <w:style w:type="paragraph" w:styleId="BalloonText">
    <w:name w:val="Balloon Text"/>
    <w:basedOn w:val="Normal"/>
    <w:link w:val="BalloonTextChar"/>
    <w:uiPriority w:val="99"/>
    <w:semiHidden/>
    <w:unhideWhenUsed/>
    <w:rsid w:val="0001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C98"/>
    <w:rPr>
      <w:rFonts w:ascii="Tahoma" w:hAnsi="Tahoma" w:cs="Tahoma"/>
      <w:sz w:val="16"/>
      <w:szCs w:val="16"/>
    </w:rPr>
  </w:style>
  <w:style w:type="paragraph" w:styleId="Header">
    <w:name w:val="header"/>
    <w:basedOn w:val="Normal"/>
    <w:link w:val="HeaderChar"/>
    <w:uiPriority w:val="99"/>
    <w:unhideWhenUsed/>
    <w:rsid w:val="00D63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56"/>
  </w:style>
  <w:style w:type="paragraph" w:styleId="Footer">
    <w:name w:val="footer"/>
    <w:basedOn w:val="Normal"/>
    <w:link w:val="FooterChar"/>
    <w:uiPriority w:val="99"/>
    <w:unhideWhenUsed/>
    <w:rsid w:val="00D6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56"/>
  </w:style>
  <w:style w:type="paragraph" w:styleId="NoSpacing">
    <w:name w:val="No Spacing"/>
    <w:uiPriority w:val="1"/>
    <w:qFormat/>
    <w:rsid w:val="00D63956"/>
    <w:pPr>
      <w:spacing w:after="0" w:line="240" w:lineRule="auto"/>
    </w:pPr>
  </w:style>
  <w:style w:type="paragraph" w:styleId="EndnoteText">
    <w:name w:val="endnote text"/>
    <w:basedOn w:val="Normal"/>
    <w:link w:val="EndnoteTextChar"/>
    <w:uiPriority w:val="99"/>
    <w:semiHidden/>
    <w:unhideWhenUsed/>
    <w:rsid w:val="00042B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2B46"/>
    <w:rPr>
      <w:sz w:val="20"/>
      <w:szCs w:val="20"/>
    </w:rPr>
  </w:style>
  <w:style w:type="character" w:styleId="EndnoteReference">
    <w:name w:val="endnote reference"/>
    <w:basedOn w:val="DefaultParagraphFont"/>
    <w:uiPriority w:val="99"/>
    <w:semiHidden/>
    <w:unhideWhenUsed/>
    <w:rsid w:val="00042B46"/>
    <w:rPr>
      <w:vertAlign w:val="superscript"/>
    </w:rPr>
  </w:style>
  <w:style w:type="paragraph" w:styleId="CommentText">
    <w:name w:val="annotation text"/>
    <w:basedOn w:val="Normal"/>
    <w:link w:val="CommentTextChar"/>
    <w:uiPriority w:val="99"/>
    <w:unhideWhenUsed/>
    <w:rsid w:val="00116172"/>
    <w:pPr>
      <w:spacing w:line="240" w:lineRule="auto"/>
    </w:pPr>
    <w:rPr>
      <w:sz w:val="20"/>
      <w:szCs w:val="20"/>
    </w:rPr>
  </w:style>
  <w:style w:type="character" w:customStyle="1" w:styleId="CommentTextChar">
    <w:name w:val="Comment Text Char"/>
    <w:basedOn w:val="DefaultParagraphFont"/>
    <w:link w:val="CommentText"/>
    <w:uiPriority w:val="99"/>
    <w:rsid w:val="00116172"/>
    <w:rPr>
      <w:sz w:val="20"/>
      <w:szCs w:val="20"/>
    </w:rPr>
  </w:style>
  <w:style w:type="paragraph" w:styleId="FootnoteText">
    <w:name w:val="footnote text"/>
    <w:basedOn w:val="Normal"/>
    <w:link w:val="FootnoteTextChar"/>
    <w:uiPriority w:val="99"/>
    <w:semiHidden/>
    <w:unhideWhenUsed/>
    <w:rsid w:val="00653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541"/>
    <w:rPr>
      <w:sz w:val="20"/>
      <w:szCs w:val="20"/>
    </w:rPr>
  </w:style>
  <w:style w:type="character" w:styleId="FootnoteReference">
    <w:name w:val="footnote reference"/>
    <w:basedOn w:val="DefaultParagraphFont"/>
    <w:uiPriority w:val="99"/>
    <w:semiHidden/>
    <w:unhideWhenUsed/>
    <w:rsid w:val="00653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3158">
      <w:bodyDiv w:val="1"/>
      <w:marLeft w:val="0"/>
      <w:marRight w:val="0"/>
      <w:marTop w:val="0"/>
      <w:marBottom w:val="0"/>
      <w:divBdr>
        <w:top w:val="none" w:sz="0" w:space="0" w:color="auto"/>
        <w:left w:val="none" w:sz="0" w:space="0" w:color="auto"/>
        <w:bottom w:val="none" w:sz="0" w:space="0" w:color="auto"/>
        <w:right w:val="none" w:sz="0" w:space="0" w:color="auto"/>
      </w:divBdr>
    </w:div>
    <w:div w:id="276643404">
      <w:bodyDiv w:val="1"/>
      <w:marLeft w:val="0"/>
      <w:marRight w:val="0"/>
      <w:marTop w:val="0"/>
      <w:marBottom w:val="0"/>
      <w:divBdr>
        <w:top w:val="none" w:sz="0" w:space="0" w:color="auto"/>
        <w:left w:val="none" w:sz="0" w:space="0" w:color="auto"/>
        <w:bottom w:val="none" w:sz="0" w:space="0" w:color="auto"/>
        <w:right w:val="none" w:sz="0" w:space="0" w:color="auto"/>
      </w:divBdr>
    </w:div>
    <w:div w:id="673842894">
      <w:bodyDiv w:val="1"/>
      <w:marLeft w:val="0"/>
      <w:marRight w:val="0"/>
      <w:marTop w:val="0"/>
      <w:marBottom w:val="0"/>
      <w:divBdr>
        <w:top w:val="none" w:sz="0" w:space="0" w:color="auto"/>
        <w:left w:val="none" w:sz="0" w:space="0" w:color="auto"/>
        <w:bottom w:val="none" w:sz="0" w:space="0" w:color="auto"/>
        <w:right w:val="none" w:sz="0" w:space="0" w:color="auto"/>
      </w:divBdr>
    </w:div>
    <w:div w:id="932709119">
      <w:bodyDiv w:val="1"/>
      <w:marLeft w:val="0"/>
      <w:marRight w:val="0"/>
      <w:marTop w:val="0"/>
      <w:marBottom w:val="0"/>
      <w:divBdr>
        <w:top w:val="none" w:sz="0" w:space="0" w:color="auto"/>
        <w:left w:val="none" w:sz="0" w:space="0" w:color="auto"/>
        <w:bottom w:val="none" w:sz="0" w:space="0" w:color="auto"/>
        <w:right w:val="none" w:sz="0" w:space="0" w:color="auto"/>
      </w:divBdr>
    </w:div>
    <w:div w:id="1288006420">
      <w:bodyDiv w:val="1"/>
      <w:marLeft w:val="0"/>
      <w:marRight w:val="0"/>
      <w:marTop w:val="0"/>
      <w:marBottom w:val="0"/>
      <w:divBdr>
        <w:top w:val="none" w:sz="0" w:space="0" w:color="auto"/>
        <w:left w:val="none" w:sz="0" w:space="0" w:color="auto"/>
        <w:bottom w:val="none" w:sz="0" w:space="0" w:color="auto"/>
        <w:right w:val="none" w:sz="0" w:space="0" w:color="auto"/>
      </w:divBdr>
    </w:div>
    <w:div w:id="1550457254">
      <w:bodyDiv w:val="1"/>
      <w:marLeft w:val="0"/>
      <w:marRight w:val="0"/>
      <w:marTop w:val="0"/>
      <w:marBottom w:val="0"/>
      <w:divBdr>
        <w:top w:val="none" w:sz="0" w:space="0" w:color="auto"/>
        <w:left w:val="none" w:sz="0" w:space="0" w:color="auto"/>
        <w:bottom w:val="none" w:sz="0" w:space="0" w:color="auto"/>
        <w:right w:val="none" w:sz="0" w:space="0" w:color="auto"/>
      </w:divBdr>
    </w:div>
    <w:div w:id="1592081475">
      <w:bodyDiv w:val="1"/>
      <w:marLeft w:val="0"/>
      <w:marRight w:val="0"/>
      <w:marTop w:val="0"/>
      <w:marBottom w:val="0"/>
      <w:divBdr>
        <w:top w:val="none" w:sz="0" w:space="0" w:color="auto"/>
        <w:left w:val="none" w:sz="0" w:space="0" w:color="auto"/>
        <w:bottom w:val="none" w:sz="0" w:space="0" w:color="auto"/>
        <w:right w:val="none" w:sz="0" w:space="0" w:color="auto"/>
      </w:divBdr>
    </w:div>
    <w:div w:id="175435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TT Faculty</c:v>
                </c:pt>
              </c:strCache>
            </c:strRef>
          </c:tx>
          <c:marker>
            <c:symbol val="none"/>
          </c:marker>
          <c:cat>
            <c:numRef>
              <c:f>Sheet1!$B$1:$E$1</c:f>
              <c:numCache>
                <c:formatCode>General</c:formatCode>
                <c:ptCount val="4"/>
                <c:pt idx="0">
                  <c:v>2007</c:v>
                </c:pt>
                <c:pt idx="1">
                  <c:v>2009</c:v>
                </c:pt>
                <c:pt idx="2">
                  <c:v>2014</c:v>
                </c:pt>
                <c:pt idx="3">
                  <c:v>2016</c:v>
                </c:pt>
              </c:numCache>
            </c:numRef>
          </c:cat>
          <c:val>
            <c:numRef>
              <c:f>Sheet1!$B$2:$E$2</c:f>
              <c:numCache>
                <c:formatCode>General</c:formatCode>
                <c:ptCount val="4"/>
                <c:pt idx="0">
                  <c:v>415.8</c:v>
                </c:pt>
                <c:pt idx="1">
                  <c:v>404.8</c:v>
                </c:pt>
                <c:pt idx="2">
                  <c:v>376.8</c:v>
                </c:pt>
                <c:pt idx="3">
                  <c:v>378</c:v>
                </c:pt>
              </c:numCache>
            </c:numRef>
          </c:val>
          <c:smooth val="0"/>
          <c:extLst>
            <c:ext xmlns:c16="http://schemas.microsoft.com/office/drawing/2014/chart" uri="{C3380CC4-5D6E-409C-BE32-E72D297353CC}">
              <c16:uniqueId val="{00000000-394C-46A5-8BF1-047F7AA6A7DC}"/>
            </c:ext>
          </c:extLst>
        </c:ser>
        <c:ser>
          <c:idx val="1"/>
          <c:order val="1"/>
          <c:tx>
            <c:strRef>
              <c:f>Sheet1!$A$3</c:f>
              <c:strCache>
                <c:ptCount val="1"/>
                <c:pt idx="0">
                  <c:v>Non-TT faculty</c:v>
                </c:pt>
              </c:strCache>
            </c:strRef>
          </c:tx>
          <c:marker>
            <c:symbol val="none"/>
          </c:marker>
          <c:cat>
            <c:numRef>
              <c:f>Sheet1!$B$1:$E$1</c:f>
              <c:numCache>
                <c:formatCode>General</c:formatCode>
                <c:ptCount val="4"/>
                <c:pt idx="0">
                  <c:v>2007</c:v>
                </c:pt>
                <c:pt idx="1">
                  <c:v>2009</c:v>
                </c:pt>
                <c:pt idx="2">
                  <c:v>2014</c:v>
                </c:pt>
                <c:pt idx="3">
                  <c:v>2016</c:v>
                </c:pt>
              </c:numCache>
            </c:numRef>
          </c:cat>
          <c:val>
            <c:numRef>
              <c:f>Sheet1!$B$3:$E$3</c:f>
              <c:numCache>
                <c:formatCode>General</c:formatCode>
                <c:ptCount val="4"/>
                <c:pt idx="0">
                  <c:v>167.9</c:v>
                </c:pt>
                <c:pt idx="1">
                  <c:v>156.30000000000001</c:v>
                </c:pt>
                <c:pt idx="2">
                  <c:v>183.5</c:v>
                </c:pt>
                <c:pt idx="3">
                  <c:v>186.3</c:v>
                </c:pt>
              </c:numCache>
            </c:numRef>
          </c:val>
          <c:smooth val="0"/>
          <c:extLst>
            <c:ext xmlns:c16="http://schemas.microsoft.com/office/drawing/2014/chart" uri="{C3380CC4-5D6E-409C-BE32-E72D297353CC}">
              <c16:uniqueId val="{00000001-394C-46A5-8BF1-047F7AA6A7DC}"/>
            </c:ext>
          </c:extLst>
        </c:ser>
        <c:dLbls>
          <c:showLegendKey val="0"/>
          <c:showVal val="0"/>
          <c:showCatName val="0"/>
          <c:showSerName val="0"/>
          <c:showPercent val="0"/>
          <c:showBubbleSize val="0"/>
        </c:dLbls>
        <c:smooth val="0"/>
        <c:axId val="123844864"/>
        <c:axId val="123850752"/>
      </c:lineChart>
      <c:catAx>
        <c:axId val="123844864"/>
        <c:scaling>
          <c:orientation val="minMax"/>
        </c:scaling>
        <c:delete val="0"/>
        <c:axPos val="b"/>
        <c:numFmt formatCode="General" sourceLinked="1"/>
        <c:majorTickMark val="out"/>
        <c:minorTickMark val="none"/>
        <c:tickLblPos val="nextTo"/>
        <c:crossAx val="123850752"/>
        <c:crosses val="autoZero"/>
        <c:auto val="1"/>
        <c:lblAlgn val="ctr"/>
        <c:lblOffset val="100"/>
        <c:noMultiLvlLbl val="0"/>
      </c:catAx>
      <c:valAx>
        <c:axId val="123850752"/>
        <c:scaling>
          <c:orientation val="minMax"/>
        </c:scaling>
        <c:delete val="0"/>
        <c:axPos val="l"/>
        <c:majorGridlines/>
        <c:numFmt formatCode="General" sourceLinked="1"/>
        <c:majorTickMark val="out"/>
        <c:minorTickMark val="none"/>
        <c:tickLblPos val="nextTo"/>
        <c:crossAx val="1238448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TT Faculty</c:v>
                </c:pt>
              </c:strCache>
            </c:strRef>
          </c:tx>
          <c:marker>
            <c:symbol val="none"/>
          </c:marker>
          <c:cat>
            <c:numRef>
              <c:f>Sheet1!$B$1:$E$1</c:f>
              <c:numCache>
                <c:formatCode>General</c:formatCode>
                <c:ptCount val="4"/>
                <c:pt idx="0">
                  <c:v>2007</c:v>
                </c:pt>
                <c:pt idx="1">
                  <c:v>2009</c:v>
                </c:pt>
                <c:pt idx="2">
                  <c:v>2014</c:v>
                </c:pt>
                <c:pt idx="3">
                  <c:v>2016</c:v>
                </c:pt>
              </c:numCache>
            </c:numRef>
          </c:cat>
          <c:val>
            <c:numRef>
              <c:f>Sheet1!$B$2:$E$2</c:f>
              <c:numCache>
                <c:formatCode>General</c:formatCode>
                <c:ptCount val="4"/>
                <c:pt idx="0">
                  <c:v>415.8</c:v>
                </c:pt>
                <c:pt idx="1">
                  <c:v>404.8</c:v>
                </c:pt>
                <c:pt idx="2">
                  <c:v>376.8</c:v>
                </c:pt>
                <c:pt idx="3">
                  <c:v>378</c:v>
                </c:pt>
              </c:numCache>
            </c:numRef>
          </c:val>
          <c:smooth val="0"/>
          <c:extLst>
            <c:ext xmlns:c16="http://schemas.microsoft.com/office/drawing/2014/chart" uri="{C3380CC4-5D6E-409C-BE32-E72D297353CC}">
              <c16:uniqueId val="{00000000-24B7-494D-BEDA-8980820390F8}"/>
            </c:ext>
          </c:extLst>
        </c:ser>
        <c:ser>
          <c:idx val="1"/>
          <c:order val="1"/>
          <c:tx>
            <c:strRef>
              <c:f>Sheet1!$A$3</c:f>
              <c:strCache>
                <c:ptCount val="1"/>
                <c:pt idx="0">
                  <c:v>Non-TT faculty</c:v>
                </c:pt>
              </c:strCache>
            </c:strRef>
          </c:tx>
          <c:marker>
            <c:symbol val="none"/>
          </c:marker>
          <c:cat>
            <c:numRef>
              <c:f>Sheet1!$B$1:$E$1</c:f>
              <c:numCache>
                <c:formatCode>General</c:formatCode>
                <c:ptCount val="4"/>
                <c:pt idx="0">
                  <c:v>2007</c:v>
                </c:pt>
                <c:pt idx="1">
                  <c:v>2009</c:v>
                </c:pt>
                <c:pt idx="2">
                  <c:v>2014</c:v>
                </c:pt>
                <c:pt idx="3">
                  <c:v>2016</c:v>
                </c:pt>
              </c:numCache>
            </c:numRef>
          </c:cat>
          <c:val>
            <c:numRef>
              <c:f>Sheet1!$B$3:$E$3</c:f>
              <c:numCache>
                <c:formatCode>General</c:formatCode>
                <c:ptCount val="4"/>
                <c:pt idx="0">
                  <c:v>167.9</c:v>
                </c:pt>
                <c:pt idx="1">
                  <c:v>156.30000000000001</c:v>
                </c:pt>
                <c:pt idx="2">
                  <c:v>183.5</c:v>
                </c:pt>
                <c:pt idx="3">
                  <c:v>186.3</c:v>
                </c:pt>
              </c:numCache>
            </c:numRef>
          </c:val>
          <c:smooth val="0"/>
          <c:extLst>
            <c:ext xmlns:c16="http://schemas.microsoft.com/office/drawing/2014/chart" uri="{C3380CC4-5D6E-409C-BE32-E72D297353CC}">
              <c16:uniqueId val="{00000001-24B7-494D-BEDA-8980820390F8}"/>
            </c:ext>
          </c:extLst>
        </c:ser>
        <c:ser>
          <c:idx val="2"/>
          <c:order val="2"/>
          <c:tx>
            <c:strRef>
              <c:f>Sheet1!$A$4</c:f>
              <c:strCache>
                <c:ptCount val="1"/>
                <c:pt idx="0">
                  <c:v>Exec &amp; Admin/Professional</c:v>
                </c:pt>
              </c:strCache>
            </c:strRef>
          </c:tx>
          <c:marker>
            <c:symbol val="none"/>
          </c:marker>
          <c:cat>
            <c:numRef>
              <c:f>Sheet1!$B$1:$E$1</c:f>
              <c:numCache>
                <c:formatCode>General</c:formatCode>
                <c:ptCount val="4"/>
                <c:pt idx="0">
                  <c:v>2007</c:v>
                </c:pt>
                <c:pt idx="1">
                  <c:v>2009</c:v>
                </c:pt>
                <c:pt idx="2">
                  <c:v>2014</c:v>
                </c:pt>
                <c:pt idx="3">
                  <c:v>2016</c:v>
                </c:pt>
              </c:numCache>
            </c:numRef>
          </c:cat>
          <c:val>
            <c:numRef>
              <c:f>Sheet1!$B$4:$E$4</c:f>
              <c:numCache>
                <c:formatCode>General</c:formatCode>
                <c:ptCount val="4"/>
                <c:pt idx="0">
                  <c:v>392.5</c:v>
                </c:pt>
                <c:pt idx="1">
                  <c:v>409.6</c:v>
                </c:pt>
                <c:pt idx="2">
                  <c:v>425</c:v>
                </c:pt>
                <c:pt idx="3">
                  <c:v>490</c:v>
                </c:pt>
              </c:numCache>
            </c:numRef>
          </c:val>
          <c:smooth val="0"/>
          <c:extLst>
            <c:ext xmlns:c16="http://schemas.microsoft.com/office/drawing/2014/chart" uri="{C3380CC4-5D6E-409C-BE32-E72D297353CC}">
              <c16:uniqueId val="{00000002-24B7-494D-BEDA-8980820390F8}"/>
            </c:ext>
          </c:extLst>
        </c:ser>
        <c:ser>
          <c:idx val="3"/>
          <c:order val="3"/>
          <c:tx>
            <c:strRef>
              <c:f>Sheet1!$A$5</c:f>
              <c:strCache>
                <c:ptCount val="1"/>
                <c:pt idx="0">
                  <c:v>Other Admin/Professionals</c:v>
                </c:pt>
              </c:strCache>
            </c:strRef>
          </c:tx>
          <c:marker>
            <c:symbol val="none"/>
          </c:marker>
          <c:cat>
            <c:numRef>
              <c:f>Sheet1!$B$1:$E$1</c:f>
              <c:numCache>
                <c:formatCode>General</c:formatCode>
                <c:ptCount val="4"/>
                <c:pt idx="0">
                  <c:v>2007</c:v>
                </c:pt>
                <c:pt idx="1">
                  <c:v>2009</c:v>
                </c:pt>
                <c:pt idx="2">
                  <c:v>2014</c:v>
                </c:pt>
                <c:pt idx="3">
                  <c:v>2016</c:v>
                </c:pt>
              </c:numCache>
            </c:numRef>
          </c:cat>
          <c:val>
            <c:numRef>
              <c:f>Sheet1!$B$5:$E$5</c:f>
              <c:numCache>
                <c:formatCode>General</c:formatCode>
                <c:ptCount val="4"/>
                <c:pt idx="0">
                  <c:v>48</c:v>
                </c:pt>
                <c:pt idx="1">
                  <c:v>49.299999999999955</c:v>
                </c:pt>
                <c:pt idx="2">
                  <c:v>40.399999999999977</c:v>
                </c:pt>
                <c:pt idx="3">
                  <c:v>42.899999999999977</c:v>
                </c:pt>
              </c:numCache>
            </c:numRef>
          </c:val>
          <c:smooth val="0"/>
          <c:extLst>
            <c:ext xmlns:c16="http://schemas.microsoft.com/office/drawing/2014/chart" uri="{C3380CC4-5D6E-409C-BE32-E72D297353CC}">
              <c16:uniqueId val="{00000003-24B7-494D-BEDA-8980820390F8}"/>
            </c:ext>
          </c:extLst>
        </c:ser>
        <c:dLbls>
          <c:showLegendKey val="0"/>
          <c:showVal val="0"/>
          <c:showCatName val="0"/>
          <c:showSerName val="0"/>
          <c:showPercent val="0"/>
          <c:showBubbleSize val="0"/>
        </c:dLbls>
        <c:smooth val="0"/>
        <c:axId val="124135296"/>
        <c:axId val="124136832"/>
      </c:lineChart>
      <c:catAx>
        <c:axId val="124135296"/>
        <c:scaling>
          <c:orientation val="minMax"/>
        </c:scaling>
        <c:delete val="0"/>
        <c:axPos val="b"/>
        <c:numFmt formatCode="General" sourceLinked="1"/>
        <c:majorTickMark val="out"/>
        <c:minorTickMark val="none"/>
        <c:tickLblPos val="nextTo"/>
        <c:crossAx val="124136832"/>
        <c:crosses val="autoZero"/>
        <c:auto val="1"/>
        <c:lblAlgn val="ctr"/>
        <c:lblOffset val="100"/>
        <c:noMultiLvlLbl val="0"/>
      </c:catAx>
      <c:valAx>
        <c:axId val="124136832"/>
        <c:scaling>
          <c:orientation val="minMax"/>
        </c:scaling>
        <c:delete val="0"/>
        <c:axPos val="l"/>
        <c:majorGridlines/>
        <c:numFmt formatCode="General" sourceLinked="1"/>
        <c:majorTickMark val="out"/>
        <c:minorTickMark val="none"/>
        <c:tickLblPos val="nextTo"/>
        <c:crossAx val="1241352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638E-AC55-4FE9-B5DF-A0A231E7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Gustafson</dc:creator>
  <cp:lastModifiedBy>Morgan Brown</cp:lastModifiedBy>
  <cp:revision>2</cp:revision>
  <cp:lastPrinted>2017-04-18T14:13:00Z</cp:lastPrinted>
  <dcterms:created xsi:type="dcterms:W3CDTF">2017-08-25T15:51:00Z</dcterms:created>
  <dcterms:modified xsi:type="dcterms:W3CDTF">2017-08-25T15:51:00Z</dcterms:modified>
</cp:coreProperties>
</file>