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1679C" w14:textId="77777777" w:rsidR="009017F3" w:rsidRPr="009C1048" w:rsidRDefault="009017F3" w:rsidP="009017F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9C1048">
        <w:rPr>
          <w:rFonts w:eastAsia="Times New Roman"/>
          <w:b/>
          <w:sz w:val="28"/>
          <w:szCs w:val="28"/>
        </w:rPr>
        <w:t>University Curriculum and Academic Affairs Committee</w:t>
      </w:r>
    </w:p>
    <w:p w14:paraId="2BF95D21" w14:textId="77777777" w:rsidR="009017F3" w:rsidRDefault="009017F3" w:rsidP="009017F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9C1048">
        <w:rPr>
          <w:rFonts w:eastAsia="Times New Roman"/>
          <w:b/>
          <w:sz w:val="28"/>
          <w:szCs w:val="28"/>
        </w:rPr>
        <w:t>UCAAC</w:t>
      </w:r>
    </w:p>
    <w:p w14:paraId="1F91BD1C" w14:textId="68708CA2" w:rsidR="00351490" w:rsidRDefault="081EA8A9" w:rsidP="081EA8A9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81EA8A9">
        <w:rPr>
          <w:b/>
          <w:bCs/>
        </w:rPr>
        <w:t xml:space="preserve">Meeting # </w:t>
      </w:r>
      <w:r w:rsidR="001A00FB">
        <w:rPr>
          <w:b/>
          <w:bCs/>
        </w:rPr>
        <w:t>12</w:t>
      </w:r>
    </w:p>
    <w:p w14:paraId="6B551E9D" w14:textId="0FBA0143" w:rsidR="00351490" w:rsidRPr="007B4915" w:rsidRDefault="001A00FB" w:rsidP="081EA8A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February 5</w:t>
      </w:r>
      <w:r w:rsidR="081EA8A9" w:rsidRPr="081EA8A9">
        <w:rPr>
          <w:b/>
          <w:bCs/>
        </w:rPr>
        <w:t>, 2019</w:t>
      </w:r>
    </w:p>
    <w:p w14:paraId="047C8F08" w14:textId="77777777" w:rsidR="00351490" w:rsidRPr="007B4915" w:rsidRDefault="00351490" w:rsidP="00351490">
      <w:pPr>
        <w:spacing w:after="0" w:line="240" w:lineRule="auto"/>
        <w:jc w:val="center"/>
        <w:rPr>
          <w:b/>
        </w:rPr>
      </w:pPr>
      <w:r w:rsidRPr="007B4915">
        <w:rPr>
          <w:b/>
        </w:rPr>
        <w:t>Stalker Hall, Room 211</w:t>
      </w:r>
    </w:p>
    <w:p w14:paraId="1321101E" w14:textId="40167210" w:rsidR="00351490" w:rsidRDefault="00351490" w:rsidP="00351490">
      <w:pPr>
        <w:spacing w:after="0" w:line="240" w:lineRule="auto"/>
      </w:pPr>
      <w:r w:rsidRPr="009C1048">
        <w:rPr>
          <w:b/>
        </w:rPr>
        <w:t>CAAC Members Present</w:t>
      </w:r>
      <w:r>
        <w:t xml:space="preserve">: </w:t>
      </w:r>
      <w:r w:rsidRPr="00CE1D6C">
        <w:t>Winnie Ko</w:t>
      </w:r>
      <w:r w:rsidR="00590E47" w:rsidRPr="00CE1D6C">
        <w:t>, Melissa Nail</w:t>
      </w:r>
      <w:r w:rsidR="00455410" w:rsidRPr="00CE1D6C">
        <w:t>, Rene</w:t>
      </w:r>
      <w:r w:rsidRPr="00CE1D6C">
        <w:t>e Bauer, Dan Clark, Heather Abbott, Edie Wittenmyer, and Jeanne Potts</w:t>
      </w:r>
      <w:r w:rsidR="005F79B1" w:rsidRPr="00CE1D6C">
        <w:t>, Brian Schaefer</w:t>
      </w:r>
    </w:p>
    <w:p w14:paraId="05DE7AC1" w14:textId="242AAF42" w:rsidR="00351490" w:rsidRDefault="00351490" w:rsidP="00351490">
      <w:pPr>
        <w:spacing w:after="0" w:line="240" w:lineRule="auto"/>
      </w:pPr>
      <w:r w:rsidRPr="009C1048">
        <w:rPr>
          <w:b/>
        </w:rPr>
        <w:t>Absent:</w:t>
      </w:r>
      <w:r w:rsidR="005F79B1">
        <w:t xml:space="preserve"> </w:t>
      </w:r>
      <w:r w:rsidR="00590E47">
        <w:t>Jeff Kinne</w:t>
      </w:r>
    </w:p>
    <w:p w14:paraId="4F3B1F96" w14:textId="7E275675" w:rsidR="00351490" w:rsidRDefault="00351490" w:rsidP="00351490">
      <w:pPr>
        <w:spacing w:after="0" w:line="240" w:lineRule="auto"/>
      </w:pPr>
      <w:r>
        <w:rPr>
          <w:b/>
        </w:rPr>
        <w:t>Guest</w:t>
      </w:r>
      <w:r w:rsidR="005F79B1">
        <w:t xml:space="preserve">: </w:t>
      </w:r>
      <w:r w:rsidR="001A00FB" w:rsidRPr="00CE1D6C">
        <w:t>Dr. Katherine Lee, Dr. Chris Fischer, and Dr. Michael Jackson</w:t>
      </w:r>
      <w:r w:rsidR="00FC59F8" w:rsidRPr="00CE1D6C">
        <w:t>, Dr. Shawn Phillips</w:t>
      </w:r>
    </w:p>
    <w:p w14:paraId="13295AD7" w14:textId="066F52A9" w:rsidR="00351490" w:rsidRDefault="00351490" w:rsidP="00351490">
      <w:pPr>
        <w:spacing w:after="0" w:line="240" w:lineRule="auto"/>
      </w:pPr>
      <w:r w:rsidRPr="002F4D21">
        <w:rPr>
          <w:b/>
        </w:rPr>
        <w:t>Executive Committee</w:t>
      </w:r>
      <w:r>
        <w:t xml:space="preserve"> </w:t>
      </w:r>
      <w:proofErr w:type="spellStart"/>
      <w:r w:rsidRPr="002F4D21">
        <w:rPr>
          <w:b/>
        </w:rPr>
        <w:t>Liason</w:t>
      </w:r>
      <w:proofErr w:type="spellEnd"/>
      <w:r w:rsidR="00590E47">
        <w:t xml:space="preserve">: </w:t>
      </w:r>
      <w:r w:rsidR="00590E47" w:rsidRPr="00422197">
        <w:t>Liz Brown</w:t>
      </w:r>
      <w:r w:rsidR="00590E47">
        <w:t xml:space="preserve"> </w:t>
      </w:r>
    </w:p>
    <w:p w14:paraId="121356C2" w14:textId="0835E886" w:rsidR="00351490" w:rsidRDefault="00351490" w:rsidP="00351490">
      <w:pPr>
        <w:spacing w:after="0" w:line="240" w:lineRule="auto"/>
      </w:pPr>
      <w:r>
        <w:rPr>
          <w:b/>
        </w:rPr>
        <w:t>Ex Officio</w:t>
      </w:r>
      <w:r w:rsidRPr="00BA42E1">
        <w:t xml:space="preserve">: </w:t>
      </w:r>
      <w:r w:rsidRPr="00CE1D6C">
        <w:t xml:space="preserve">Bassam </w:t>
      </w:r>
      <w:proofErr w:type="spellStart"/>
      <w:r w:rsidRPr="00CE1D6C">
        <w:t>Yousif</w:t>
      </w:r>
      <w:proofErr w:type="spellEnd"/>
      <w:r w:rsidRPr="00CE1D6C">
        <w:t>, Kelly Wilkinson, Susan Powers,</w:t>
      </w:r>
      <w:r w:rsidR="005F79B1" w:rsidRPr="00CE1D6C">
        <w:t xml:space="preserve"> </w:t>
      </w:r>
      <w:r w:rsidRPr="00CE1D6C">
        <w:t>Angie Maclaren</w:t>
      </w:r>
      <w:r w:rsidR="00FC59F8" w:rsidRPr="00CE1D6C">
        <w:t>, Linda Sperry</w:t>
      </w:r>
      <w:r w:rsidR="00EF7611">
        <w:t>,</w:t>
      </w:r>
      <w:r w:rsidR="0083280F">
        <w:t xml:space="preserve"> </w:t>
      </w:r>
      <w:r w:rsidR="00CE1D6C">
        <w:t xml:space="preserve">and </w:t>
      </w:r>
      <w:r w:rsidR="0083280F">
        <w:t>Kara Harris</w:t>
      </w:r>
      <w:bookmarkStart w:id="0" w:name="_GoBack"/>
      <w:bookmarkEnd w:id="0"/>
    </w:p>
    <w:p w14:paraId="5A7C9E8C" w14:textId="77777777" w:rsidR="00253FCC" w:rsidRDefault="00351490" w:rsidP="00351490">
      <w:r>
        <w:t>Minutes taken Jeanne Potts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908"/>
        <w:gridCol w:w="4369"/>
        <w:gridCol w:w="2528"/>
      </w:tblGrid>
      <w:tr w:rsidR="009017F3" w14:paraId="56530705" w14:textId="77777777" w:rsidTr="081EA8A9">
        <w:tc>
          <w:tcPr>
            <w:tcW w:w="2908" w:type="dxa"/>
            <w:shd w:val="clear" w:color="auto" w:fill="BDD6EE" w:themeFill="accent1" w:themeFillTint="66"/>
          </w:tcPr>
          <w:p w14:paraId="53A8696D" w14:textId="77777777" w:rsidR="009017F3" w:rsidRPr="000F6CD0" w:rsidRDefault="009017F3" w:rsidP="00FC341D">
            <w:pPr>
              <w:jc w:val="center"/>
              <w:rPr>
                <w:b/>
              </w:rPr>
            </w:pPr>
            <w:r w:rsidRPr="000F6CD0">
              <w:rPr>
                <w:b/>
              </w:rPr>
              <w:t>Agenda Item</w:t>
            </w:r>
          </w:p>
        </w:tc>
        <w:tc>
          <w:tcPr>
            <w:tcW w:w="4369" w:type="dxa"/>
            <w:shd w:val="clear" w:color="auto" w:fill="BDD6EE" w:themeFill="accent1" w:themeFillTint="66"/>
          </w:tcPr>
          <w:p w14:paraId="4AFE23A4" w14:textId="77777777" w:rsidR="009017F3" w:rsidRPr="000F6CD0" w:rsidRDefault="009017F3" w:rsidP="00FC341D">
            <w:pPr>
              <w:jc w:val="center"/>
              <w:rPr>
                <w:b/>
              </w:rPr>
            </w:pPr>
            <w:r w:rsidRPr="000F6CD0">
              <w:rPr>
                <w:b/>
              </w:rPr>
              <w:t>Discussion</w:t>
            </w:r>
          </w:p>
        </w:tc>
        <w:tc>
          <w:tcPr>
            <w:tcW w:w="2528" w:type="dxa"/>
            <w:shd w:val="clear" w:color="auto" w:fill="BDD6EE" w:themeFill="accent1" w:themeFillTint="66"/>
          </w:tcPr>
          <w:p w14:paraId="66A9C209" w14:textId="77777777" w:rsidR="009017F3" w:rsidRPr="000F6CD0" w:rsidRDefault="009017F3" w:rsidP="00FC341D">
            <w:pPr>
              <w:rPr>
                <w:b/>
              </w:rPr>
            </w:pPr>
            <w:r w:rsidRPr="000F6CD0">
              <w:rPr>
                <w:b/>
              </w:rPr>
              <w:t>Recommendation/Action</w:t>
            </w:r>
          </w:p>
        </w:tc>
      </w:tr>
      <w:tr w:rsidR="009017F3" w14:paraId="5C86EB96" w14:textId="77777777" w:rsidTr="081EA8A9">
        <w:tc>
          <w:tcPr>
            <w:tcW w:w="2908" w:type="dxa"/>
          </w:tcPr>
          <w:p w14:paraId="17337E17" w14:textId="77777777" w:rsidR="009017F3" w:rsidRPr="00FA454B" w:rsidRDefault="009017F3" w:rsidP="00FA454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A454B">
              <w:rPr>
                <w:b/>
                <w:sz w:val="24"/>
                <w:szCs w:val="24"/>
              </w:rPr>
              <w:t>Call to Order</w:t>
            </w:r>
          </w:p>
        </w:tc>
        <w:tc>
          <w:tcPr>
            <w:tcW w:w="4369" w:type="dxa"/>
          </w:tcPr>
          <w:p w14:paraId="7671CFD3" w14:textId="77777777" w:rsidR="009017F3" w:rsidRDefault="009017F3" w:rsidP="00FC341D">
            <w:r>
              <w:t xml:space="preserve">Chairperson W. Ko </w:t>
            </w:r>
            <w:r w:rsidR="005F79B1">
              <w:t xml:space="preserve">called meeting to order at </w:t>
            </w:r>
          </w:p>
          <w:p w14:paraId="672A6659" w14:textId="3E8D3D58" w:rsidR="005F79B1" w:rsidRDefault="00667DB1" w:rsidP="00FC341D">
            <w:r>
              <w:t>12:32</w:t>
            </w:r>
          </w:p>
        </w:tc>
        <w:tc>
          <w:tcPr>
            <w:tcW w:w="2528" w:type="dxa"/>
          </w:tcPr>
          <w:p w14:paraId="0A37501D" w14:textId="77777777" w:rsidR="009017F3" w:rsidRDefault="009017F3" w:rsidP="00FC341D"/>
        </w:tc>
      </w:tr>
      <w:tr w:rsidR="000F6CD0" w14:paraId="5DAB6C7B" w14:textId="77777777" w:rsidTr="081EA8A9">
        <w:tc>
          <w:tcPr>
            <w:tcW w:w="2908" w:type="dxa"/>
            <w:shd w:val="clear" w:color="auto" w:fill="BDD6EE" w:themeFill="accent1" w:themeFillTint="66"/>
          </w:tcPr>
          <w:p w14:paraId="02EB378F" w14:textId="77777777" w:rsidR="000F6CD0" w:rsidRPr="00FA454B" w:rsidRDefault="000F6CD0" w:rsidP="000F6CD0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6A05A809" w14:textId="77777777" w:rsidR="000F6CD0" w:rsidRDefault="000F6CD0" w:rsidP="00FC341D"/>
        </w:tc>
        <w:tc>
          <w:tcPr>
            <w:tcW w:w="2528" w:type="dxa"/>
            <w:shd w:val="clear" w:color="auto" w:fill="BDD6EE" w:themeFill="accent1" w:themeFillTint="66"/>
          </w:tcPr>
          <w:p w14:paraId="5A39BBE3" w14:textId="77777777" w:rsidR="000F6CD0" w:rsidRDefault="000F6CD0" w:rsidP="00FC341D"/>
        </w:tc>
      </w:tr>
      <w:tr w:rsidR="009017F3" w14:paraId="12B55489" w14:textId="77777777" w:rsidTr="081EA8A9">
        <w:tc>
          <w:tcPr>
            <w:tcW w:w="2908" w:type="dxa"/>
          </w:tcPr>
          <w:p w14:paraId="15EB67AA" w14:textId="77777777" w:rsidR="009017F3" w:rsidRPr="00FA454B" w:rsidRDefault="009017F3" w:rsidP="00FA454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FA454B">
              <w:rPr>
                <w:b/>
                <w:sz w:val="24"/>
                <w:szCs w:val="24"/>
              </w:rPr>
              <w:t>Approval of Minutes</w:t>
            </w:r>
          </w:p>
        </w:tc>
        <w:tc>
          <w:tcPr>
            <w:tcW w:w="4369" w:type="dxa"/>
          </w:tcPr>
          <w:p w14:paraId="75EF678D" w14:textId="2CC7EEC2" w:rsidR="009017F3" w:rsidRDefault="081EA8A9" w:rsidP="00FC341D">
            <w:r>
              <w:t>Meeting #</w:t>
            </w:r>
            <w:r w:rsidR="001A00FB">
              <w:t xml:space="preserve"> 11 January 22, 2019</w:t>
            </w:r>
          </w:p>
        </w:tc>
        <w:tc>
          <w:tcPr>
            <w:tcW w:w="2528" w:type="dxa"/>
          </w:tcPr>
          <w:p w14:paraId="2C5D325F" w14:textId="5B6460B5" w:rsidR="005F79B1" w:rsidRDefault="00CE1D6C" w:rsidP="00FC341D">
            <w:r>
              <w:t>Motion by H. Abbott</w:t>
            </w:r>
          </w:p>
          <w:p w14:paraId="456B9FD4" w14:textId="63312582" w:rsidR="009017F3" w:rsidRDefault="1A074E58" w:rsidP="00FC341D">
            <w:r>
              <w:t xml:space="preserve">Second by </w:t>
            </w:r>
            <w:r w:rsidR="00CE1D6C">
              <w:t>D. Clark</w:t>
            </w:r>
          </w:p>
          <w:p w14:paraId="1C41E98C" w14:textId="77525597" w:rsidR="00351490" w:rsidRDefault="000F6CD0" w:rsidP="00FC341D">
            <w:r>
              <w:t>(</w:t>
            </w:r>
            <w:r w:rsidR="005F79B1">
              <w:t xml:space="preserve"> </w:t>
            </w:r>
            <w:r w:rsidR="00076DA6">
              <w:t>4-0-3</w:t>
            </w:r>
            <w:r>
              <w:t>)</w:t>
            </w:r>
          </w:p>
        </w:tc>
      </w:tr>
      <w:tr w:rsidR="009017F3" w14:paraId="41C8F396" w14:textId="77777777" w:rsidTr="081EA8A9">
        <w:tc>
          <w:tcPr>
            <w:tcW w:w="2908" w:type="dxa"/>
            <w:shd w:val="clear" w:color="auto" w:fill="BDD6EE" w:themeFill="accent1" w:themeFillTint="66"/>
          </w:tcPr>
          <w:p w14:paraId="72A3D3EC" w14:textId="77777777" w:rsidR="009017F3" w:rsidRPr="00877C3F" w:rsidRDefault="009017F3" w:rsidP="00FC341D">
            <w:pPr>
              <w:rPr>
                <w:b/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0D0B940D" w14:textId="77777777" w:rsidR="009017F3" w:rsidRDefault="009017F3" w:rsidP="00FC341D"/>
        </w:tc>
        <w:tc>
          <w:tcPr>
            <w:tcW w:w="2528" w:type="dxa"/>
            <w:shd w:val="clear" w:color="auto" w:fill="BDD6EE" w:themeFill="accent1" w:themeFillTint="66"/>
          </w:tcPr>
          <w:p w14:paraId="0E27B00A" w14:textId="77777777" w:rsidR="009017F3" w:rsidRDefault="009017F3" w:rsidP="00FC341D"/>
        </w:tc>
      </w:tr>
      <w:tr w:rsidR="009017F3" w14:paraId="6AA5EDA5" w14:textId="77777777" w:rsidTr="081EA8A9">
        <w:tc>
          <w:tcPr>
            <w:tcW w:w="2908" w:type="dxa"/>
          </w:tcPr>
          <w:p w14:paraId="26432FE6" w14:textId="77777777" w:rsidR="001A00FB" w:rsidRPr="001A00FB" w:rsidRDefault="1C078F83" w:rsidP="1C078F83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1C078F83">
              <w:rPr>
                <w:b/>
                <w:bCs/>
              </w:rPr>
              <w:t xml:space="preserve">Review of </w:t>
            </w:r>
          </w:p>
          <w:p w14:paraId="12084712" w14:textId="0D3E3350" w:rsidR="009017F3" w:rsidRPr="008521ED" w:rsidRDefault="001A00FB" w:rsidP="001A00FB">
            <w:pPr>
              <w:pStyle w:val="List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Forensic Sciences Minor proposed </w:t>
            </w:r>
          </w:p>
          <w:p w14:paraId="2330285E" w14:textId="198C463C" w:rsidR="009017F3" w:rsidRPr="008521ED" w:rsidRDefault="009017F3" w:rsidP="1A074E58">
            <w:pPr>
              <w:ind w:left="360"/>
              <w:rPr>
                <w:b/>
                <w:bCs/>
              </w:rPr>
            </w:pPr>
          </w:p>
          <w:p w14:paraId="49CFEFCD" w14:textId="4EA71E94" w:rsidR="009017F3" w:rsidRPr="008521ED" w:rsidRDefault="1C078F83" w:rsidP="1C078F83">
            <w:pPr>
              <w:ind w:left="360"/>
            </w:pPr>
            <w:r w:rsidRPr="1C078F83">
              <w:t xml:space="preserve"> </w:t>
            </w:r>
          </w:p>
        </w:tc>
        <w:tc>
          <w:tcPr>
            <w:tcW w:w="4369" w:type="dxa"/>
          </w:tcPr>
          <w:p w14:paraId="489C5A62" w14:textId="2DBDBD89" w:rsidR="00667DB1" w:rsidRDefault="001A00FB" w:rsidP="1A074E58">
            <w:r>
              <w:t xml:space="preserve">Dr. </w:t>
            </w:r>
            <w:r w:rsidR="00667DB1">
              <w:t>Shawn Phillips</w:t>
            </w:r>
          </w:p>
          <w:p w14:paraId="631CFA4F" w14:textId="505DAB20" w:rsidR="00667DB1" w:rsidRDefault="00667DB1" w:rsidP="1A074E58">
            <w:r>
              <w:t xml:space="preserve">MST department </w:t>
            </w:r>
            <w:r w:rsidR="00CE1D6C">
              <w:t xml:space="preserve">had </w:t>
            </w:r>
            <w:r>
              <w:t>2 students</w:t>
            </w:r>
            <w:r w:rsidR="00CE1D6C">
              <w:t xml:space="preserve"> who proposed</w:t>
            </w:r>
            <w:r>
              <w:t xml:space="preserve"> an individual </w:t>
            </w:r>
            <w:r w:rsidR="00CE1D6C">
              <w:t>Forensic</w:t>
            </w:r>
            <w:r>
              <w:t xml:space="preserve"> Sciences minor and</w:t>
            </w:r>
            <w:r w:rsidR="00CE1D6C">
              <w:t xml:space="preserve"> were immediately </w:t>
            </w:r>
            <w:r>
              <w:t>hired</w:t>
            </w:r>
            <w:r w:rsidR="00CE1D6C">
              <w:t xml:space="preserve"> after graduation</w:t>
            </w:r>
            <w:r>
              <w:t xml:space="preserve">.  </w:t>
            </w:r>
            <w:r w:rsidR="00CE1D6C">
              <w:t>Employers were ask what was needed for hiring and built</w:t>
            </w:r>
            <w:r>
              <w:t xml:space="preserve"> minor around what employers are looking for.  Employer</w:t>
            </w:r>
            <w:r w:rsidR="00CE1D6C">
              <w:t>s</w:t>
            </w:r>
            <w:r>
              <w:t xml:space="preserve"> asked not to have a sp</w:t>
            </w:r>
            <w:r w:rsidR="00CE1D6C">
              <w:t xml:space="preserve">ecialty but a general background. </w:t>
            </w:r>
          </w:p>
          <w:p w14:paraId="7ACF66F7" w14:textId="40444AD0" w:rsidR="001623D4" w:rsidRPr="007B4915" w:rsidRDefault="00667DB1" w:rsidP="1A074E58">
            <w:r>
              <w:t>Crim</w:t>
            </w:r>
            <w:r w:rsidR="00CE1D6C">
              <w:t>inology</w:t>
            </w:r>
            <w:r>
              <w:t xml:space="preserve"> and anthro</w:t>
            </w:r>
            <w:r w:rsidR="00CE1D6C">
              <w:t>pology</w:t>
            </w:r>
            <w:r>
              <w:t xml:space="preserve"> majors were the 2 students who developed the individual minor.</w:t>
            </w:r>
            <w:r w:rsidR="00422197">
              <w:t xml:space="preserve"> </w:t>
            </w:r>
            <w:r>
              <w:t xml:space="preserve">28 credit hours—(requirement &lt;30 </w:t>
            </w:r>
            <w:proofErr w:type="spellStart"/>
            <w:r>
              <w:t>hrs</w:t>
            </w:r>
            <w:proofErr w:type="spellEnd"/>
            <w:r w:rsidR="00CE1D6C">
              <w:t xml:space="preserve"> for a minor</w:t>
            </w:r>
            <w:r>
              <w:t>)</w:t>
            </w:r>
            <w:r w:rsidR="00422197">
              <w:t xml:space="preserve">.  </w:t>
            </w:r>
            <w:r>
              <w:t xml:space="preserve">IUPUI has a </w:t>
            </w:r>
            <w:r w:rsidR="00CE1D6C">
              <w:t>Forensic</w:t>
            </w:r>
            <w:r>
              <w:t xml:space="preserve"> Scienc</w:t>
            </w:r>
            <w:r w:rsidR="00CE1D6C">
              <w:t>e program.  University of Indianap</w:t>
            </w:r>
            <w:r>
              <w:t xml:space="preserve">olis has a </w:t>
            </w:r>
            <w:r w:rsidR="00CE1D6C">
              <w:t xml:space="preserve">Forensic Science </w:t>
            </w:r>
            <w:r>
              <w:t>Masters.</w:t>
            </w:r>
          </w:p>
          <w:p w14:paraId="60061E4C" w14:textId="14D5763B" w:rsidR="00351490" w:rsidRPr="007B4915" w:rsidRDefault="00351490" w:rsidP="1C078F83"/>
        </w:tc>
        <w:tc>
          <w:tcPr>
            <w:tcW w:w="2528" w:type="dxa"/>
          </w:tcPr>
          <w:p w14:paraId="44EAFD9C" w14:textId="77777777" w:rsidR="009017F3" w:rsidRDefault="009017F3" w:rsidP="00FC341D"/>
        </w:tc>
      </w:tr>
      <w:tr w:rsidR="005F79B1" w14:paraId="4B94D5A5" w14:textId="77777777" w:rsidTr="081EA8A9">
        <w:tc>
          <w:tcPr>
            <w:tcW w:w="2908" w:type="dxa"/>
            <w:shd w:val="clear" w:color="auto" w:fill="BDD6EE" w:themeFill="accent1" w:themeFillTint="66"/>
          </w:tcPr>
          <w:p w14:paraId="3DEEC669" w14:textId="77777777" w:rsidR="005F79B1" w:rsidRDefault="005F79B1" w:rsidP="00FC34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3656B9AB" w14:textId="77777777" w:rsidR="005F79B1" w:rsidRPr="00877C3F" w:rsidRDefault="005F79B1" w:rsidP="00FC341D">
            <w:pPr>
              <w:rPr>
                <w:b/>
              </w:rPr>
            </w:pPr>
          </w:p>
        </w:tc>
        <w:tc>
          <w:tcPr>
            <w:tcW w:w="2528" w:type="dxa"/>
            <w:shd w:val="clear" w:color="auto" w:fill="BDD6EE" w:themeFill="accent1" w:themeFillTint="66"/>
          </w:tcPr>
          <w:p w14:paraId="45FB0818" w14:textId="77777777" w:rsidR="005F79B1" w:rsidRDefault="005F79B1" w:rsidP="00FC341D"/>
        </w:tc>
      </w:tr>
      <w:tr w:rsidR="009017F3" w14:paraId="2D255667" w14:textId="77777777" w:rsidTr="081EA8A9">
        <w:tc>
          <w:tcPr>
            <w:tcW w:w="2908" w:type="dxa"/>
          </w:tcPr>
          <w:p w14:paraId="608C01F7" w14:textId="7A9147FE" w:rsidR="1C078F83" w:rsidRPr="001A00FB" w:rsidRDefault="1A074E58" w:rsidP="1A074E5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</w:rPr>
            </w:pPr>
            <w:r w:rsidRPr="1A074E58">
              <w:rPr>
                <w:b/>
                <w:bCs/>
                <w:sz w:val="24"/>
                <w:szCs w:val="24"/>
              </w:rPr>
              <w:t>Review of</w:t>
            </w:r>
            <w:r w:rsidR="001A00F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283D961" w14:textId="0CB9FF19" w:rsidR="001A00FB" w:rsidRDefault="001A00FB" w:rsidP="001A00FB">
            <w:pPr>
              <w:pStyle w:val="ListParagrap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4"/>
                <w:szCs w:val="24"/>
              </w:rPr>
              <w:t>History Major</w:t>
            </w:r>
            <w:r w:rsidR="00CE1D6C">
              <w:rPr>
                <w:b/>
                <w:bCs/>
                <w:sz w:val="24"/>
                <w:szCs w:val="24"/>
              </w:rPr>
              <w:t xml:space="preserve"> and Minor</w:t>
            </w:r>
          </w:p>
          <w:p w14:paraId="049F31CB" w14:textId="77777777" w:rsidR="009017F3" w:rsidRDefault="009017F3" w:rsidP="00FC34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128261" w14:textId="77777777" w:rsidR="009017F3" w:rsidRDefault="009017F3" w:rsidP="00FC34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486C05" w14:textId="77777777" w:rsidR="009017F3" w:rsidRDefault="009017F3" w:rsidP="00FC34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01652C" w14:textId="77777777" w:rsidR="009017F3" w:rsidRDefault="009017F3" w:rsidP="00FC34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99056E" w14:textId="77777777" w:rsidR="009017F3" w:rsidRDefault="009017F3" w:rsidP="00FC34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99C43A" w14:textId="77777777" w:rsidR="009017F3" w:rsidRDefault="009017F3" w:rsidP="00FC34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DBEF00" w14:textId="77777777" w:rsidR="009017F3" w:rsidRPr="00637E20" w:rsidRDefault="009017F3" w:rsidP="00FC341D"/>
        </w:tc>
        <w:tc>
          <w:tcPr>
            <w:tcW w:w="4369" w:type="dxa"/>
          </w:tcPr>
          <w:p w14:paraId="2D4657E4" w14:textId="77777777" w:rsidR="00022204" w:rsidRDefault="001A00FB" w:rsidP="1A074E5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Dr. Chris Fischer</w:t>
            </w:r>
          </w:p>
          <w:p w14:paraId="25706F37" w14:textId="083DD0C7" w:rsidR="00667DB1" w:rsidRDefault="00667DB1" w:rsidP="1A074E5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="00CE1D6C">
              <w:rPr>
                <w:rFonts w:ascii="Calibri" w:eastAsia="Calibri" w:hAnsi="Calibri" w:cs="Calibri"/>
                <w:sz w:val="24"/>
                <w:szCs w:val="24"/>
              </w:rPr>
              <w:t>pdating-</w:t>
            </w:r>
            <w:r w:rsidR="00FC59F8">
              <w:rPr>
                <w:rFonts w:ascii="Calibri" w:eastAsia="Calibri" w:hAnsi="Calibri" w:cs="Calibri"/>
                <w:sz w:val="24"/>
                <w:szCs w:val="24"/>
              </w:rPr>
              <w:t xml:space="preserve"> History 113 </w:t>
            </w:r>
            <w:r w:rsidR="00CE1D6C">
              <w:rPr>
                <w:rFonts w:ascii="Calibri" w:eastAsia="Calibri" w:hAnsi="Calibri" w:cs="Calibri"/>
                <w:sz w:val="24"/>
                <w:szCs w:val="24"/>
              </w:rPr>
              <w:t>will be eliminated.</w:t>
            </w:r>
          </w:p>
          <w:p w14:paraId="2AD47B29" w14:textId="2980E86A" w:rsidR="00667DB1" w:rsidRDefault="00667DB1" w:rsidP="1A074E5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Give </w:t>
            </w:r>
            <w:r w:rsidR="00CE1D6C">
              <w:rPr>
                <w:rFonts w:ascii="Calibri" w:eastAsia="Calibri" w:hAnsi="Calibri" w:cs="Calibri"/>
                <w:sz w:val="24"/>
                <w:szCs w:val="24"/>
              </w:rPr>
              <w:t xml:space="preserve">the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major opportunity to take 213 or 313.  Same change for major and minor.</w:t>
            </w:r>
          </w:p>
          <w:p w14:paraId="3D7E37B6" w14:textId="1A65E90F" w:rsidR="00FC59F8" w:rsidRDefault="00CE1D6C" w:rsidP="1A074E5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Advised to</w:t>
            </w:r>
            <w:r w:rsidR="00FC59F8">
              <w:rPr>
                <w:rFonts w:ascii="Calibri" w:eastAsia="Calibri" w:hAnsi="Calibri" w:cs="Calibri"/>
                <w:sz w:val="24"/>
                <w:szCs w:val="24"/>
              </w:rPr>
              <w:t xml:space="preserve"> add language that student cannot declare a minor who has the major.</w:t>
            </w:r>
          </w:p>
          <w:p w14:paraId="3461D779" w14:textId="02023C6B" w:rsidR="00667DB1" w:rsidRPr="00FA454B" w:rsidRDefault="00667DB1" w:rsidP="1A074E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28" w:type="dxa"/>
          </w:tcPr>
          <w:p w14:paraId="3CF2D8B6" w14:textId="77777777" w:rsidR="009017F3" w:rsidRDefault="009017F3" w:rsidP="00FC341D"/>
        </w:tc>
      </w:tr>
      <w:tr w:rsidR="005F79B1" w14:paraId="439A79B6" w14:textId="77777777" w:rsidTr="081EA8A9">
        <w:tc>
          <w:tcPr>
            <w:tcW w:w="2908" w:type="dxa"/>
          </w:tcPr>
          <w:p w14:paraId="78EBD024" w14:textId="35D66FAA" w:rsidR="005F79B1" w:rsidRPr="001A00FB" w:rsidRDefault="1A074E58" w:rsidP="1A074E5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</w:rPr>
            </w:pPr>
            <w:r w:rsidRPr="1A074E58">
              <w:rPr>
                <w:b/>
                <w:bCs/>
                <w:sz w:val="24"/>
                <w:szCs w:val="24"/>
              </w:rPr>
              <w:t xml:space="preserve">Review of </w:t>
            </w:r>
          </w:p>
          <w:p w14:paraId="7E86B056" w14:textId="7EDAAE42" w:rsidR="001A00FB" w:rsidRPr="00FA454B" w:rsidRDefault="001A00FB" w:rsidP="001A00FB">
            <w:pPr>
              <w:pStyle w:val="ListParagrap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4"/>
                <w:szCs w:val="24"/>
              </w:rPr>
              <w:t>Entertainment Design and Technology Minor</w:t>
            </w:r>
          </w:p>
          <w:p w14:paraId="1DCE8CDC" w14:textId="7376CC62" w:rsidR="005F79B1" w:rsidRPr="00FA454B" w:rsidRDefault="005F79B1" w:rsidP="1C078F83">
            <w:pPr>
              <w:ind w:left="360"/>
              <w:rPr>
                <w:rFonts w:eastAsia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369" w:type="dxa"/>
          </w:tcPr>
          <w:p w14:paraId="54989038" w14:textId="77777777" w:rsidR="005F79B1" w:rsidRDefault="00D13655" w:rsidP="1A074E5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Dr. Michael Jackson</w:t>
            </w:r>
          </w:p>
          <w:p w14:paraId="0FB78278" w14:textId="5EF805EB" w:rsidR="00FC59F8" w:rsidRDefault="00FC59F8" w:rsidP="00CE1D6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Minor being discussed for long time. Sabbatical in 2016 talking</w:t>
            </w:r>
            <w:r w:rsidR="00CE1D6C">
              <w:rPr>
                <w:rFonts w:ascii="Calibri" w:eastAsia="Calibri" w:hAnsi="Calibri" w:cs="Calibri"/>
                <w:sz w:val="24"/>
                <w:szCs w:val="24"/>
              </w:rPr>
              <w:t xml:space="preserve"> with alumni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about this and there is a need for these skills in the field.  Students </w:t>
            </w:r>
            <w:r w:rsidR="00CE1D6C">
              <w:rPr>
                <w:rFonts w:ascii="Calibri" w:eastAsia="Calibri" w:hAnsi="Calibri" w:cs="Calibri"/>
                <w:sz w:val="24"/>
                <w:szCs w:val="24"/>
              </w:rPr>
              <w:t xml:space="preserve">may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take courses but n</w:t>
            </w:r>
            <w:r w:rsidR="00CE1D6C">
              <w:rPr>
                <w:rFonts w:ascii="Calibri" w:eastAsia="Calibri" w:hAnsi="Calibri" w:cs="Calibri"/>
                <w:sz w:val="24"/>
                <w:szCs w:val="24"/>
              </w:rPr>
              <w:t>ot declare a minor. Students are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interested in “the backstage world” could have a minor.  Could entice students from other disciplines (Technology, Criminology, Safety, </w:t>
            </w:r>
            <w:r w:rsidR="00CE1D6C">
              <w:rPr>
                <w:rFonts w:ascii="Calibri" w:eastAsia="Calibri" w:hAnsi="Calibri" w:cs="Calibri"/>
                <w:sz w:val="24"/>
                <w:szCs w:val="24"/>
              </w:rPr>
              <w:t>and Business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).  </w:t>
            </w:r>
            <w:r w:rsidR="00EF7611">
              <w:rPr>
                <w:rFonts w:ascii="Calibri" w:eastAsia="Calibri" w:hAnsi="Calibri" w:cs="Calibri"/>
                <w:sz w:val="24"/>
                <w:szCs w:val="24"/>
              </w:rPr>
              <w:t>This proposal 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ased off of Eastern Michigan University.  Goal for a stand-</w:t>
            </w:r>
            <w:r w:rsidR="009C71FC">
              <w:rPr>
                <w:rFonts w:ascii="Calibri" w:eastAsia="Calibri" w:hAnsi="Calibri" w:cs="Calibri"/>
                <w:sz w:val="24"/>
                <w:szCs w:val="24"/>
              </w:rPr>
              <w:t xml:space="preserve">alone track as a career path.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CE1D6C" w:rsidRPr="00CE1D6C">
              <w:rPr>
                <w:sz w:val="24"/>
                <w:szCs w:val="24"/>
              </w:rPr>
              <w:t>Cruise industry asking for students with these skills</w:t>
            </w:r>
            <w:r w:rsidR="00CE1D6C">
              <w:t xml:space="preserve">. </w:t>
            </w:r>
            <w:r w:rsidR="00EF7611">
              <w:rPr>
                <w:rFonts w:ascii="Calibri" w:eastAsia="Calibri" w:hAnsi="Calibri" w:cs="Calibri"/>
                <w:sz w:val="24"/>
                <w:szCs w:val="24"/>
              </w:rPr>
              <w:t xml:space="preserve">Technology may have some courses which would fit well into this minor. </w:t>
            </w:r>
          </w:p>
        </w:tc>
        <w:tc>
          <w:tcPr>
            <w:tcW w:w="2528" w:type="dxa"/>
          </w:tcPr>
          <w:p w14:paraId="1FC39945" w14:textId="77777777" w:rsidR="005F79B1" w:rsidRDefault="005F79B1" w:rsidP="00FC341D"/>
        </w:tc>
      </w:tr>
      <w:tr w:rsidR="000F6CD0" w14:paraId="0562CB0E" w14:textId="77777777" w:rsidTr="081EA8A9">
        <w:tc>
          <w:tcPr>
            <w:tcW w:w="2908" w:type="dxa"/>
            <w:shd w:val="clear" w:color="auto" w:fill="BDD6EE" w:themeFill="accent1" w:themeFillTint="66"/>
          </w:tcPr>
          <w:p w14:paraId="34CE0A41" w14:textId="77777777" w:rsidR="000F6CD0" w:rsidRPr="00FA454B" w:rsidRDefault="000F6CD0" w:rsidP="000F6CD0">
            <w:pPr>
              <w:pStyle w:val="ListParagraph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62EBF3C5" w14:textId="77777777" w:rsidR="000F6CD0" w:rsidRDefault="000F6CD0" w:rsidP="00FA454B"/>
        </w:tc>
        <w:tc>
          <w:tcPr>
            <w:tcW w:w="2528" w:type="dxa"/>
            <w:shd w:val="clear" w:color="auto" w:fill="BDD6EE" w:themeFill="accent1" w:themeFillTint="66"/>
          </w:tcPr>
          <w:p w14:paraId="6D98A12B" w14:textId="77777777" w:rsidR="000F6CD0" w:rsidRDefault="000F6CD0" w:rsidP="00FC341D"/>
        </w:tc>
      </w:tr>
      <w:tr w:rsidR="009017F3" w14:paraId="00B33B1C" w14:textId="77777777" w:rsidTr="081EA8A9">
        <w:tc>
          <w:tcPr>
            <w:tcW w:w="2908" w:type="dxa"/>
          </w:tcPr>
          <w:p w14:paraId="202EF8E0" w14:textId="77777777" w:rsidR="009017F3" w:rsidRPr="00992761" w:rsidRDefault="1C078F83" w:rsidP="1C078F83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1C078F83">
              <w:rPr>
                <w:b/>
                <w:bCs/>
              </w:rPr>
              <w:t>Chair’s Report and Executive Action Items</w:t>
            </w:r>
          </w:p>
        </w:tc>
        <w:tc>
          <w:tcPr>
            <w:tcW w:w="4369" w:type="dxa"/>
          </w:tcPr>
          <w:p w14:paraId="1DFFF959" w14:textId="382619C2" w:rsidR="00422197" w:rsidRDefault="00422197" w:rsidP="00422197">
            <w:pPr>
              <w:pStyle w:val="ListParagraph"/>
              <w:numPr>
                <w:ilvl w:val="0"/>
                <w:numId w:val="3"/>
              </w:numPr>
            </w:pPr>
            <w:r>
              <w:t xml:space="preserve">CAPS Manual statement of students cannot declare a minor in a major concentration. </w:t>
            </w:r>
          </w:p>
          <w:p w14:paraId="2946DB82" w14:textId="2DB844BB" w:rsidR="009017F3" w:rsidRPr="00637E20" w:rsidRDefault="00422197" w:rsidP="00422197">
            <w:pPr>
              <w:pStyle w:val="ListParagraph"/>
              <w:numPr>
                <w:ilvl w:val="0"/>
                <w:numId w:val="3"/>
              </w:numPr>
            </w:pPr>
            <w:r>
              <w:t xml:space="preserve">Rewording of CAPS Manual&gt;Programs&gt;#1 to state: </w:t>
            </w:r>
            <w:r w:rsidRPr="00C07065">
              <w:rPr>
                <w:b/>
              </w:rPr>
              <w:t>Review by Indiana Commission of Higher Education: All new majors and certificates must be submitted to the Indiana Commission of Higher Education.</w:t>
            </w:r>
            <w:r>
              <w:rPr>
                <w:b/>
              </w:rPr>
              <w:t xml:space="preserve"> </w:t>
            </w:r>
          </w:p>
        </w:tc>
        <w:tc>
          <w:tcPr>
            <w:tcW w:w="2528" w:type="dxa"/>
          </w:tcPr>
          <w:p w14:paraId="04CA1501" w14:textId="77777777" w:rsidR="00422197" w:rsidRDefault="00422197" w:rsidP="00422197">
            <w:r>
              <w:t>Motion by M. Nail to make #2 change</w:t>
            </w:r>
          </w:p>
          <w:p w14:paraId="57948939" w14:textId="77777777" w:rsidR="00422197" w:rsidRDefault="00422197" w:rsidP="00422197">
            <w:r>
              <w:t>Second by L. Brown</w:t>
            </w:r>
          </w:p>
          <w:p w14:paraId="5997CC1D" w14:textId="786142F2" w:rsidR="009017F3" w:rsidRDefault="00422197" w:rsidP="00422197">
            <w:r>
              <w:t>(7-0-0)</w:t>
            </w:r>
          </w:p>
        </w:tc>
      </w:tr>
      <w:tr w:rsidR="000F6CD0" w14:paraId="5630AD66" w14:textId="77777777" w:rsidTr="081EA8A9">
        <w:tc>
          <w:tcPr>
            <w:tcW w:w="2908" w:type="dxa"/>
            <w:shd w:val="clear" w:color="auto" w:fill="BDD6EE" w:themeFill="accent1" w:themeFillTint="66"/>
          </w:tcPr>
          <w:p w14:paraId="61829076" w14:textId="77777777" w:rsidR="000F6CD0" w:rsidRPr="00992761" w:rsidRDefault="000F6CD0" w:rsidP="000F6CD0">
            <w:pPr>
              <w:pStyle w:val="ListParagraph"/>
              <w:rPr>
                <w:b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2BA226A1" w14:textId="77777777" w:rsidR="000F6CD0" w:rsidRDefault="000F6CD0" w:rsidP="00FC341D"/>
        </w:tc>
        <w:tc>
          <w:tcPr>
            <w:tcW w:w="2528" w:type="dxa"/>
            <w:shd w:val="clear" w:color="auto" w:fill="BDD6EE" w:themeFill="accent1" w:themeFillTint="66"/>
          </w:tcPr>
          <w:p w14:paraId="17AD93B2" w14:textId="77777777" w:rsidR="000F6CD0" w:rsidRDefault="000F6CD0" w:rsidP="00FC341D"/>
        </w:tc>
      </w:tr>
      <w:tr w:rsidR="001A00FB" w14:paraId="70FFD5CD" w14:textId="77777777" w:rsidTr="001A00FB">
        <w:tc>
          <w:tcPr>
            <w:tcW w:w="2908" w:type="dxa"/>
            <w:shd w:val="clear" w:color="auto" w:fill="auto"/>
          </w:tcPr>
          <w:p w14:paraId="3C7B9355" w14:textId="7D2057FF" w:rsidR="001A00FB" w:rsidRPr="001A00FB" w:rsidRDefault="001A00FB" w:rsidP="0042219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Executive Committee Report</w:t>
            </w:r>
          </w:p>
        </w:tc>
        <w:tc>
          <w:tcPr>
            <w:tcW w:w="4369" w:type="dxa"/>
            <w:shd w:val="clear" w:color="auto" w:fill="auto"/>
          </w:tcPr>
          <w:p w14:paraId="604D13CA" w14:textId="77777777" w:rsidR="00E82F6D" w:rsidRDefault="00E82F6D" w:rsidP="00FC341D">
            <w:r>
              <w:t>L. Brown.</w:t>
            </w:r>
          </w:p>
          <w:p w14:paraId="6BCFF1CD" w14:textId="2B9AA7BE" w:rsidR="001A00FB" w:rsidRDefault="00422197" w:rsidP="00FC341D">
            <w:r>
              <w:t>Provost</w:t>
            </w:r>
            <w:r w:rsidR="00E82F6D">
              <w:t xml:space="preserve"> </w:t>
            </w:r>
            <w:r>
              <w:t>is pleased with attendance at SE</w:t>
            </w:r>
            <w:r w:rsidR="00E82F6D">
              <w:t xml:space="preserve">M meetings. </w:t>
            </w:r>
          </w:p>
        </w:tc>
        <w:tc>
          <w:tcPr>
            <w:tcW w:w="2528" w:type="dxa"/>
            <w:shd w:val="clear" w:color="auto" w:fill="auto"/>
          </w:tcPr>
          <w:p w14:paraId="237C4215" w14:textId="77777777" w:rsidR="001A00FB" w:rsidRDefault="001A00FB" w:rsidP="00FC341D"/>
        </w:tc>
      </w:tr>
      <w:tr w:rsidR="001A00FB" w14:paraId="172B4B13" w14:textId="77777777" w:rsidTr="081EA8A9">
        <w:tc>
          <w:tcPr>
            <w:tcW w:w="2908" w:type="dxa"/>
            <w:shd w:val="clear" w:color="auto" w:fill="BDD6EE" w:themeFill="accent1" w:themeFillTint="66"/>
          </w:tcPr>
          <w:p w14:paraId="132AA1F5" w14:textId="77777777" w:rsidR="001A00FB" w:rsidRPr="00992761" w:rsidRDefault="001A00FB" w:rsidP="000F6CD0">
            <w:pPr>
              <w:pStyle w:val="ListParagraph"/>
              <w:rPr>
                <w:b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659401C7" w14:textId="77777777" w:rsidR="001A00FB" w:rsidRDefault="001A00FB" w:rsidP="00FC341D"/>
        </w:tc>
        <w:tc>
          <w:tcPr>
            <w:tcW w:w="2528" w:type="dxa"/>
            <w:shd w:val="clear" w:color="auto" w:fill="BDD6EE" w:themeFill="accent1" w:themeFillTint="66"/>
          </w:tcPr>
          <w:p w14:paraId="7A151DF5" w14:textId="77777777" w:rsidR="001A00FB" w:rsidRDefault="001A00FB" w:rsidP="00FC341D"/>
        </w:tc>
      </w:tr>
      <w:tr w:rsidR="009017F3" w14:paraId="6481C582" w14:textId="77777777" w:rsidTr="081EA8A9">
        <w:tc>
          <w:tcPr>
            <w:tcW w:w="2908" w:type="dxa"/>
          </w:tcPr>
          <w:p w14:paraId="213A52DA" w14:textId="77777777" w:rsidR="009017F3" w:rsidRPr="00992761" w:rsidRDefault="1C078F83" w:rsidP="0042219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1C078F83">
              <w:rPr>
                <w:b/>
                <w:bCs/>
              </w:rPr>
              <w:t>Old Business</w:t>
            </w:r>
          </w:p>
        </w:tc>
        <w:tc>
          <w:tcPr>
            <w:tcW w:w="4369" w:type="dxa"/>
          </w:tcPr>
          <w:p w14:paraId="62364154" w14:textId="77777777" w:rsidR="009017F3" w:rsidRDefault="000F6CD0" w:rsidP="00FC341D">
            <w:r>
              <w:t>No report</w:t>
            </w:r>
          </w:p>
          <w:p w14:paraId="39609875" w14:textId="1C86CA0A" w:rsidR="000F6CD0" w:rsidRDefault="000F6CD0" w:rsidP="00FC341D">
            <w:r>
              <w:t xml:space="preserve">. </w:t>
            </w:r>
          </w:p>
        </w:tc>
        <w:tc>
          <w:tcPr>
            <w:tcW w:w="2528" w:type="dxa"/>
          </w:tcPr>
          <w:p w14:paraId="0DE4B5B7" w14:textId="77777777" w:rsidR="009017F3" w:rsidRDefault="009017F3" w:rsidP="00FC341D"/>
        </w:tc>
      </w:tr>
      <w:tr w:rsidR="001A00FB" w14:paraId="78DED8AB" w14:textId="77777777" w:rsidTr="001A00FB">
        <w:tc>
          <w:tcPr>
            <w:tcW w:w="2908" w:type="dxa"/>
            <w:shd w:val="clear" w:color="auto" w:fill="BDD6EE" w:themeFill="accent1" w:themeFillTint="66"/>
          </w:tcPr>
          <w:p w14:paraId="1B549DF6" w14:textId="77777777" w:rsidR="001A00FB" w:rsidRPr="001A00FB" w:rsidRDefault="001A00FB" w:rsidP="001A00FB">
            <w:pPr>
              <w:rPr>
                <w:b/>
                <w:bCs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183CB9EA" w14:textId="77777777" w:rsidR="001A00FB" w:rsidRDefault="001A00FB" w:rsidP="00FC341D"/>
        </w:tc>
        <w:tc>
          <w:tcPr>
            <w:tcW w:w="2528" w:type="dxa"/>
            <w:shd w:val="clear" w:color="auto" w:fill="BDD6EE" w:themeFill="accent1" w:themeFillTint="66"/>
          </w:tcPr>
          <w:p w14:paraId="6CB50DC9" w14:textId="77777777" w:rsidR="001A00FB" w:rsidRDefault="001A00FB" w:rsidP="00FC341D"/>
        </w:tc>
      </w:tr>
      <w:tr w:rsidR="001A00FB" w14:paraId="371F04AF" w14:textId="77777777" w:rsidTr="081EA8A9">
        <w:tc>
          <w:tcPr>
            <w:tcW w:w="2908" w:type="dxa"/>
          </w:tcPr>
          <w:p w14:paraId="655B6FA8" w14:textId="0E1E3A2F" w:rsidR="001A00FB" w:rsidRPr="001A00FB" w:rsidRDefault="001A00FB" w:rsidP="0042219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New Business</w:t>
            </w:r>
          </w:p>
        </w:tc>
        <w:tc>
          <w:tcPr>
            <w:tcW w:w="4369" w:type="dxa"/>
          </w:tcPr>
          <w:p w14:paraId="7FD75D8A" w14:textId="4FE6E905" w:rsidR="001A00FB" w:rsidRDefault="00E82F6D" w:rsidP="00FC341D">
            <w:r>
              <w:t>None</w:t>
            </w:r>
          </w:p>
        </w:tc>
        <w:tc>
          <w:tcPr>
            <w:tcW w:w="2528" w:type="dxa"/>
          </w:tcPr>
          <w:p w14:paraId="042C6B5A" w14:textId="77777777" w:rsidR="001A00FB" w:rsidRDefault="001A00FB" w:rsidP="00FC341D"/>
        </w:tc>
      </w:tr>
      <w:tr w:rsidR="000F6CD0" w14:paraId="66204FF1" w14:textId="77777777" w:rsidTr="081EA8A9">
        <w:tc>
          <w:tcPr>
            <w:tcW w:w="2908" w:type="dxa"/>
            <w:shd w:val="clear" w:color="auto" w:fill="BDD6EE" w:themeFill="accent1" w:themeFillTint="66"/>
          </w:tcPr>
          <w:p w14:paraId="2DBF0D7D" w14:textId="77777777" w:rsidR="000F6CD0" w:rsidRPr="00992761" w:rsidRDefault="000F6CD0" w:rsidP="000F6CD0">
            <w:pPr>
              <w:pStyle w:val="ListParagraph"/>
              <w:rPr>
                <w:b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6B62F1B3" w14:textId="77777777" w:rsidR="000F6CD0" w:rsidRDefault="000F6CD0" w:rsidP="00FC341D"/>
        </w:tc>
        <w:tc>
          <w:tcPr>
            <w:tcW w:w="2528" w:type="dxa"/>
            <w:shd w:val="clear" w:color="auto" w:fill="BDD6EE" w:themeFill="accent1" w:themeFillTint="66"/>
          </w:tcPr>
          <w:p w14:paraId="02F2C34E" w14:textId="77777777" w:rsidR="000F6CD0" w:rsidRDefault="000F6CD0" w:rsidP="00FC341D"/>
        </w:tc>
      </w:tr>
      <w:tr w:rsidR="009017F3" w14:paraId="362DD996" w14:textId="77777777" w:rsidTr="081EA8A9">
        <w:tc>
          <w:tcPr>
            <w:tcW w:w="2908" w:type="dxa"/>
          </w:tcPr>
          <w:p w14:paraId="0B7F62C4" w14:textId="77777777" w:rsidR="009017F3" w:rsidRPr="000F6CD0" w:rsidRDefault="1C078F83" w:rsidP="0042219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1C078F83">
              <w:rPr>
                <w:b/>
                <w:bCs/>
              </w:rPr>
              <w:t>Adjournment</w:t>
            </w:r>
          </w:p>
        </w:tc>
        <w:tc>
          <w:tcPr>
            <w:tcW w:w="4369" w:type="dxa"/>
          </w:tcPr>
          <w:p w14:paraId="3F9E6051" w14:textId="3B734F63" w:rsidR="009017F3" w:rsidRDefault="005F79B1" w:rsidP="00FC341D">
            <w:r>
              <w:t xml:space="preserve">Meeting adjourned </w:t>
            </w:r>
            <w:r w:rsidR="00455410">
              <w:t xml:space="preserve"> </w:t>
            </w:r>
            <w:r w:rsidR="00422197">
              <w:t>12:58PM</w:t>
            </w:r>
          </w:p>
        </w:tc>
        <w:tc>
          <w:tcPr>
            <w:tcW w:w="2528" w:type="dxa"/>
          </w:tcPr>
          <w:p w14:paraId="37B1A544" w14:textId="42B103BD" w:rsidR="005F79B1" w:rsidRDefault="000F6CD0" w:rsidP="005F79B1">
            <w:r>
              <w:t xml:space="preserve">Motion by </w:t>
            </w:r>
            <w:r w:rsidR="00455410">
              <w:t xml:space="preserve"> </w:t>
            </w:r>
            <w:r w:rsidR="00E82F6D">
              <w:t>D. Clark</w:t>
            </w:r>
          </w:p>
          <w:p w14:paraId="13D33AA3" w14:textId="56E6C01D" w:rsidR="005F79B1" w:rsidRDefault="000F6CD0" w:rsidP="005F79B1">
            <w:r>
              <w:t xml:space="preserve">Second by </w:t>
            </w:r>
            <w:r w:rsidR="00455410">
              <w:t xml:space="preserve"> </w:t>
            </w:r>
            <w:r w:rsidR="00E82F6D">
              <w:t>M. Nail</w:t>
            </w:r>
          </w:p>
          <w:p w14:paraId="5A7C8996" w14:textId="2BC05D5E" w:rsidR="009017F3" w:rsidRDefault="009017F3" w:rsidP="005F79B1"/>
        </w:tc>
      </w:tr>
    </w:tbl>
    <w:p w14:paraId="680A4E5D" w14:textId="77777777" w:rsidR="009017F3" w:rsidRPr="009017F3" w:rsidRDefault="009017F3" w:rsidP="009017F3"/>
    <w:sectPr w:rsidR="009017F3" w:rsidRPr="009017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462AB" w14:textId="77777777" w:rsidR="00A55359" w:rsidRDefault="00A55359" w:rsidP="000F6CD0">
      <w:pPr>
        <w:spacing w:after="0" w:line="240" w:lineRule="auto"/>
      </w:pPr>
      <w:r>
        <w:separator/>
      </w:r>
    </w:p>
  </w:endnote>
  <w:endnote w:type="continuationSeparator" w:id="0">
    <w:p w14:paraId="15C39942" w14:textId="77777777" w:rsidR="00A55359" w:rsidRDefault="00A55359" w:rsidP="000F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908D6" w14:textId="77777777" w:rsidR="00A55359" w:rsidRDefault="00A55359" w:rsidP="000F6CD0">
      <w:pPr>
        <w:spacing w:after="0" w:line="240" w:lineRule="auto"/>
      </w:pPr>
      <w:r>
        <w:separator/>
      </w:r>
    </w:p>
  </w:footnote>
  <w:footnote w:type="continuationSeparator" w:id="0">
    <w:p w14:paraId="07ED8E9D" w14:textId="77777777" w:rsidR="00A55359" w:rsidRDefault="00A55359" w:rsidP="000F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2F1F" w14:textId="27DEDC78" w:rsidR="000F6CD0" w:rsidRDefault="000F6CD0">
    <w:pPr>
      <w:pStyle w:val="Header"/>
    </w:pPr>
    <w:r>
      <w:t xml:space="preserve">                                                                                                                                                                   </w:t>
    </w:r>
    <w:proofErr w:type="gramStart"/>
    <w:r w:rsidR="005F79B1">
      <w:t>approved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41CD"/>
    <w:multiLevelType w:val="hybridMultilevel"/>
    <w:tmpl w:val="6D20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1C61"/>
    <w:multiLevelType w:val="hybridMultilevel"/>
    <w:tmpl w:val="856E3996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4D82615"/>
    <w:multiLevelType w:val="hybridMultilevel"/>
    <w:tmpl w:val="D682BDA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A0243"/>
    <w:multiLevelType w:val="hybridMultilevel"/>
    <w:tmpl w:val="BD52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822C1"/>
    <w:multiLevelType w:val="hybridMultilevel"/>
    <w:tmpl w:val="93BE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F3"/>
    <w:rsid w:val="00022204"/>
    <w:rsid w:val="00076DA6"/>
    <w:rsid w:val="000F6CD0"/>
    <w:rsid w:val="00151968"/>
    <w:rsid w:val="001623D4"/>
    <w:rsid w:val="001A00FB"/>
    <w:rsid w:val="001C3488"/>
    <w:rsid w:val="001C45E8"/>
    <w:rsid w:val="00253FCC"/>
    <w:rsid w:val="00351490"/>
    <w:rsid w:val="004014F1"/>
    <w:rsid w:val="00422197"/>
    <w:rsid w:val="00455410"/>
    <w:rsid w:val="004F0223"/>
    <w:rsid w:val="00590E47"/>
    <w:rsid w:val="005F79B1"/>
    <w:rsid w:val="00667DB1"/>
    <w:rsid w:val="0083280F"/>
    <w:rsid w:val="009017F3"/>
    <w:rsid w:val="00910025"/>
    <w:rsid w:val="009C71FC"/>
    <w:rsid w:val="00A55149"/>
    <w:rsid w:val="00A55359"/>
    <w:rsid w:val="00CE1D6C"/>
    <w:rsid w:val="00D13655"/>
    <w:rsid w:val="00D5758C"/>
    <w:rsid w:val="00E24EE6"/>
    <w:rsid w:val="00E82F6D"/>
    <w:rsid w:val="00EF7611"/>
    <w:rsid w:val="00F83D33"/>
    <w:rsid w:val="00FA454B"/>
    <w:rsid w:val="00FC59F8"/>
    <w:rsid w:val="081EA8A9"/>
    <w:rsid w:val="1A074E58"/>
    <w:rsid w:val="1C078F83"/>
    <w:rsid w:val="55199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60D6"/>
  <w15:chartTrackingRefBased/>
  <w15:docId w15:val="{7578E65F-3699-4697-81F3-C0BF4A83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D0"/>
  </w:style>
  <w:style w:type="paragraph" w:styleId="Footer">
    <w:name w:val="footer"/>
    <w:basedOn w:val="Normal"/>
    <w:link w:val="FooterChar"/>
    <w:uiPriority w:val="99"/>
    <w:unhideWhenUsed/>
    <w:rsid w:val="000F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Potts</dc:creator>
  <cp:keywords/>
  <dc:description/>
  <cp:lastModifiedBy>Jean Potts</cp:lastModifiedBy>
  <cp:revision>2</cp:revision>
  <dcterms:created xsi:type="dcterms:W3CDTF">2019-02-14T20:12:00Z</dcterms:created>
  <dcterms:modified xsi:type="dcterms:W3CDTF">2019-02-14T20:12:00Z</dcterms:modified>
</cp:coreProperties>
</file>