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644" w:rsidRPr="00D92E3D" w:rsidRDefault="00111FA7">
      <w:pPr>
        <w:rPr>
          <w:b/>
        </w:rPr>
      </w:pPr>
      <w:bookmarkStart w:id="0" w:name="_GoBack"/>
      <w:bookmarkEnd w:id="0"/>
      <w:r w:rsidRPr="00D92E3D">
        <w:rPr>
          <w:b/>
        </w:rPr>
        <w:t>Faculty Affairs Committee – Annual Report</w:t>
      </w:r>
    </w:p>
    <w:p w:rsidR="00D92E3D" w:rsidRDefault="00D92E3D">
      <w:r>
        <w:rPr>
          <w:i/>
        </w:rPr>
        <w:t>Summary of Work</w:t>
      </w:r>
    </w:p>
    <w:p w:rsidR="00D92E3D" w:rsidRDefault="00D92E3D">
      <w:r>
        <w:t>Over the course of the 2016-2017 annual year, the University Faculty Affairs Committee has forwarded</w:t>
      </w:r>
      <w:r w:rsidRPr="00002C93">
        <w:t xml:space="preserve"> </w:t>
      </w:r>
      <w:r w:rsidR="00CF3D1D" w:rsidRPr="00002C93">
        <w:t>9</w:t>
      </w:r>
      <w:r w:rsidRPr="00002C93">
        <w:t xml:space="preserve"> </w:t>
      </w:r>
      <w:r>
        <w:t>motions to amend the University Handbook and made 5 recommendations for process changes and improve clarity and transparency regarding faculty affairs.  The committee met 14 times throughout the year.  Based on our work, our recommendations for future</w:t>
      </w:r>
      <w:r w:rsidR="00CF3D1D">
        <w:t xml:space="preserve"> charges include:</w:t>
      </w:r>
      <w:r>
        <w:t xml:space="preserve"> </w:t>
      </w:r>
    </w:p>
    <w:p w:rsidR="00CF3D1D" w:rsidRDefault="00CF3D1D" w:rsidP="00685F29">
      <w:pPr>
        <w:pStyle w:val="ListParagraph"/>
        <w:numPr>
          <w:ilvl w:val="0"/>
          <w:numId w:val="4"/>
        </w:numPr>
      </w:pPr>
      <w:r>
        <w:t>Consider revisions to 310 to align with recent changes in the handbook</w:t>
      </w:r>
    </w:p>
    <w:p w:rsidR="00CF3D1D" w:rsidRDefault="00CF3D1D" w:rsidP="00685F29">
      <w:pPr>
        <w:pStyle w:val="ListParagraph"/>
        <w:numPr>
          <w:ilvl w:val="0"/>
          <w:numId w:val="4"/>
        </w:numPr>
      </w:pPr>
      <w:r>
        <w:t>Consider revision to 310.1.17 to address faculty availability</w:t>
      </w:r>
    </w:p>
    <w:p w:rsidR="00CF3D1D" w:rsidRDefault="00CF3D1D" w:rsidP="00685F29">
      <w:pPr>
        <w:pStyle w:val="ListParagraph"/>
        <w:numPr>
          <w:ilvl w:val="0"/>
          <w:numId w:val="4"/>
        </w:numPr>
      </w:pPr>
      <w:r>
        <w:t>Review student and faculty grievance policies to align with any changes to language regarding faculty availability</w:t>
      </w:r>
    </w:p>
    <w:p w:rsidR="00CF3D1D" w:rsidRDefault="00CF3D1D" w:rsidP="00CF3D1D">
      <w:pPr>
        <w:pStyle w:val="ListParagraph"/>
        <w:numPr>
          <w:ilvl w:val="0"/>
          <w:numId w:val="4"/>
        </w:numPr>
      </w:pPr>
      <w:r w:rsidRPr="00CF3D1D">
        <w:t>Investigate how program administration and/or chair duties are being evaluated in the tenure, promotion, and retention process</w:t>
      </w:r>
    </w:p>
    <w:p w:rsidR="00685F29" w:rsidRDefault="00685F29" w:rsidP="00685F29">
      <w:pPr>
        <w:pStyle w:val="ListParagraph"/>
        <w:numPr>
          <w:ilvl w:val="0"/>
          <w:numId w:val="4"/>
        </w:numPr>
      </w:pPr>
      <w:r>
        <w:t xml:space="preserve">Review and revision of Section 305.10 University Promotions and Tenure Oversight Committee to clarify procedures and reporting responsibilities of the committee. </w:t>
      </w:r>
    </w:p>
    <w:p w:rsidR="00D56FEE" w:rsidRDefault="00D56FEE" w:rsidP="00685F29">
      <w:pPr>
        <w:pStyle w:val="ListParagraph"/>
        <w:numPr>
          <w:ilvl w:val="0"/>
          <w:numId w:val="4"/>
        </w:numPr>
      </w:pPr>
      <w:r>
        <w:t xml:space="preserve">Campus wide education on impact of changes to 305 </w:t>
      </w:r>
    </w:p>
    <w:p w:rsidR="00D56FEE" w:rsidRPr="00D92E3D" w:rsidRDefault="00002C93" w:rsidP="00685F29">
      <w:pPr>
        <w:pStyle w:val="ListParagraph"/>
        <w:numPr>
          <w:ilvl w:val="0"/>
          <w:numId w:val="4"/>
        </w:numPr>
      </w:pPr>
      <w:r>
        <w:t>Consider teaching awards for part-time and full-time lecturers and instructors</w:t>
      </w:r>
      <w:r w:rsidR="005F4BEA">
        <w:t xml:space="preserve"> at t</w:t>
      </w:r>
      <w:r w:rsidR="007B4070">
        <w:t>he University and College level</w:t>
      </w:r>
    </w:p>
    <w:p w:rsidR="00D56FEE" w:rsidRPr="00002C93" w:rsidRDefault="00D56FEE">
      <w:pPr>
        <w:sectPr w:rsidR="00D56FEE" w:rsidRPr="00002C93" w:rsidSect="00D56FE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70" w:right="1440" w:bottom="450" w:left="1440" w:header="720" w:footer="720" w:gutter="0"/>
          <w:cols w:space="720"/>
          <w:docGrid w:linePitch="360"/>
        </w:sectPr>
      </w:pPr>
    </w:p>
    <w:p w:rsidR="00111FA7" w:rsidRPr="00D92E3D" w:rsidRDefault="00111FA7">
      <w:pPr>
        <w:rPr>
          <w:i/>
        </w:rPr>
      </w:pPr>
      <w:r w:rsidRPr="00D92E3D">
        <w:rPr>
          <w:i/>
        </w:rPr>
        <w:t>Meetings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August 29, 2016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September 14, 2016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September 28, 2016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October 12, 2016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October 26, 2016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November 9, 2016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November 30, 2016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January 25, 2017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February 8, 2017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February 15, 2017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February 22, 2017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March 8, 2017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March 22, 2017</w:t>
      </w:r>
    </w:p>
    <w:p w:rsidR="00111FA7" w:rsidRDefault="00111FA7" w:rsidP="00111FA7">
      <w:pPr>
        <w:pStyle w:val="ListParagraph"/>
        <w:numPr>
          <w:ilvl w:val="0"/>
          <w:numId w:val="1"/>
        </w:numPr>
      </w:pPr>
      <w:r>
        <w:t>April 19, 2017</w:t>
      </w:r>
    </w:p>
    <w:p w:rsidR="00D56FEE" w:rsidRDefault="00D56FEE" w:rsidP="00111FA7">
      <w:pPr>
        <w:rPr>
          <w:i/>
        </w:rPr>
      </w:pPr>
    </w:p>
    <w:p w:rsidR="00D56FEE" w:rsidRDefault="00D56FEE" w:rsidP="00111FA7">
      <w:pPr>
        <w:rPr>
          <w:i/>
        </w:rPr>
      </w:pPr>
    </w:p>
    <w:p w:rsidR="00D56FEE" w:rsidRDefault="00D56FEE" w:rsidP="00111FA7">
      <w:pPr>
        <w:rPr>
          <w:i/>
        </w:rPr>
      </w:pPr>
    </w:p>
    <w:p w:rsidR="00D56FEE" w:rsidRDefault="00D56FEE" w:rsidP="00111FA7">
      <w:pPr>
        <w:rPr>
          <w:i/>
        </w:rPr>
      </w:pPr>
    </w:p>
    <w:p w:rsidR="00D56FEE" w:rsidRDefault="00D56FEE" w:rsidP="00111FA7">
      <w:pPr>
        <w:rPr>
          <w:i/>
        </w:rPr>
      </w:pPr>
    </w:p>
    <w:p w:rsidR="00111FA7" w:rsidRPr="00D92E3D" w:rsidRDefault="00111FA7" w:rsidP="00111FA7">
      <w:pPr>
        <w:rPr>
          <w:i/>
        </w:rPr>
      </w:pPr>
      <w:r w:rsidRPr="00D92E3D">
        <w:rPr>
          <w:i/>
        </w:rPr>
        <w:t>Committee Members (attendance)</w:t>
      </w:r>
    </w:p>
    <w:p w:rsidR="00111FA7" w:rsidRDefault="00111FA7" w:rsidP="00111FA7">
      <w:pPr>
        <w:pStyle w:val="ListParagraph"/>
        <w:numPr>
          <w:ilvl w:val="0"/>
          <w:numId w:val="2"/>
        </w:numPr>
      </w:pPr>
      <w:r>
        <w:t xml:space="preserve">Lindsey Eberman </w:t>
      </w:r>
      <w:r w:rsidR="002258C4">
        <w:t>(Absent – 1 meeting)</w:t>
      </w:r>
    </w:p>
    <w:p w:rsidR="00111FA7" w:rsidRDefault="00111FA7" w:rsidP="00111FA7">
      <w:pPr>
        <w:pStyle w:val="ListParagraph"/>
        <w:numPr>
          <w:ilvl w:val="0"/>
          <w:numId w:val="2"/>
        </w:numPr>
      </w:pPr>
      <w:r>
        <w:t xml:space="preserve">Barbara </w:t>
      </w:r>
      <w:proofErr w:type="spellStart"/>
      <w:r>
        <w:t>Eversole</w:t>
      </w:r>
      <w:proofErr w:type="spellEnd"/>
      <w:r w:rsidR="002258C4">
        <w:t xml:space="preserve"> (Absent – 2 meetings)</w:t>
      </w:r>
    </w:p>
    <w:p w:rsidR="00111FA7" w:rsidRDefault="00111FA7" w:rsidP="00111FA7">
      <w:pPr>
        <w:pStyle w:val="ListParagraph"/>
        <w:numPr>
          <w:ilvl w:val="0"/>
          <w:numId w:val="2"/>
        </w:numPr>
      </w:pPr>
      <w:r>
        <w:t>Bridget Roberts-Pittman</w:t>
      </w:r>
      <w:r w:rsidR="002258C4">
        <w:t xml:space="preserve"> (Absent – 0 meetings)</w:t>
      </w:r>
    </w:p>
    <w:p w:rsidR="00111FA7" w:rsidRDefault="00111FA7" w:rsidP="00111FA7">
      <w:pPr>
        <w:pStyle w:val="ListParagraph"/>
        <w:numPr>
          <w:ilvl w:val="0"/>
          <w:numId w:val="2"/>
        </w:numPr>
      </w:pPr>
      <w:r>
        <w:t>Shawn Phillips</w:t>
      </w:r>
      <w:r w:rsidR="002258C4">
        <w:t xml:space="preserve"> (Absent – 3 meetings)</w:t>
      </w:r>
    </w:p>
    <w:p w:rsidR="00111FA7" w:rsidRDefault="00111FA7" w:rsidP="00111FA7">
      <w:pPr>
        <w:pStyle w:val="ListParagraph"/>
        <w:numPr>
          <w:ilvl w:val="0"/>
          <w:numId w:val="2"/>
        </w:numPr>
      </w:pPr>
      <w:r>
        <w:t xml:space="preserve">Steven </w:t>
      </w:r>
      <w:proofErr w:type="spellStart"/>
      <w:r>
        <w:t>Stofferahn</w:t>
      </w:r>
      <w:proofErr w:type="spellEnd"/>
      <w:r w:rsidR="002258C4">
        <w:t xml:space="preserve"> (Absent – 0 meetings)</w:t>
      </w:r>
    </w:p>
    <w:p w:rsidR="00111FA7" w:rsidRDefault="00111FA7" w:rsidP="00111FA7">
      <w:pPr>
        <w:pStyle w:val="ListParagraph"/>
        <w:numPr>
          <w:ilvl w:val="0"/>
          <w:numId w:val="2"/>
        </w:numPr>
      </w:pPr>
      <w:r>
        <w:t>Ed Gallatin</w:t>
      </w:r>
      <w:r w:rsidR="002258C4">
        <w:t xml:space="preserve"> (Absent – 3 meetings)</w:t>
      </w:r>
    </w:p>
    <w:p w:rsidR="00111FA7" w:rsidRDefault="00111FA7" w:rsidP="00111FA7">
      <w:pPr>
        <w:pStyle w:val="ListParagraph"/>
        <w:numPr>
          <w:ilvl w:val="0"/>
          <w:numId w:val="2"/>
        </w:numPr>
      </w:pPr>
      <w:proofErr w:type="spellStart"/>
      <w:r>
        <w:t>Azizi</w:t>
      </w:r>
      <w:proofErr w:type="spellEnd"/>
      <w:r>
        <w:t xml:space="preserve"> Arrington-Bay</w:t>
      </w:r>
      <w:r w:rsidR="002258C4">
        <w:t xml:space="preserve"> (Absent – 3 meetings)</w:t>
      </w:r>
    </w:p>
    <w:p w:rsidR="00111FA7" w:rsidRPr="00D92E3D" w:rsidRDefault="00111FA7">
      <w:pPr>
        <w:rPr>
          <w:i/>
        </w:rPr>
      </w:pPr>
      <w:r w:rsidRPr="00D92E3D">
        <w:rPr>
          <w:i/>
        </w:rPr>
        <w:t>Ex-Officio Members</w:t>
      </w:r>
    </w:p>
    <w:p w:rsidR="00111FA7" w:rsidRDefault="00111FA7" w:rsidP="00111FA7">
      <w:pPr>
        <w:pStyle w:val="ListParagraph"/>
        <w:numPr>
          <w:ilvl w:val="0"/>
          <w:numId w:val="3"/>
        </w:numPr>
      </w:pPr>
      <w:r>
        <w:t>Academic Affairs – Susan Powers</w:t>
      </w:r>
    </w:p>
    <w:p w:rsidR="00111FA7" w:rsidRDefault="00D56FEE" w:rsidP="00111FA7">
      <w:pPr>
        <w:pStyle w:val="ListParagraph"/>
        <w:numPr>
          <w:ilvl w:val="0"/>
          <w:numId w:val="3"/>
        </w:numPr>
      </w:pPr>
      <w:r>
        <w:t xml:space="preserve">Faculty </w:t>
      </w:r>
      <w:r w:rsidR="00111FA7">
        <w:t xml:space="preserve">Senate Executive Committee – Darlene </w:t>
      </w:r>
      <w:proofErr w:type="spellStart"/>
      <w:r w:rsidR="00111FA7">
        <w:t>Hantzis</w:t>
      </w:r>
      <w:proofErr w:type="spellEnd"/>
      <w:r w:rsidR="002258C4">
        <w:t xml:space="preserve"> </w:t>
      </w:r>
    </w:p>
    <w:p w:rsidR="007B1491" w:rsidRDefault="007B4070" w:rsidP="00111FA7">
      <w:pPr>
        <w:pStyle w:val="ListParagraph"/>
        <w:numPr>
          <w:ilvl w:val="0"/>
          <w:numId w:val="3"/>
        </w:numPr>
        <w:sectPr w:rsidR="007B1491" w:rsidSect="00D56FEE">
          <w:type w:val="continuous"/>
          <w:pgSz w:w="12240" w:h="15840"/>
          <w:pgMar w:top="1170" w:right="1440" w:bottom="450" w:left="1440" w:header="720" w:footer="720" w:gutter="0"/>
          <w:cols w:num="2" w:space="720"/>
          <w:docGrid w:linePitch="360"/>
        </w:sectPr>
      </w:pPr>
      <w:r>
        <w:t xml:space="preserve">Temporary Faculty Advocate – </w:t>
      </w:r>
      <w:proofErr w:type="spellStart"/>
      <w:r>
        <w:t>Ma</w:t>
      </w:r>
      <w:r w:rsidR="00111FA7">
        <w:t>lissa</w:t>
      </w:r>
      <w:proofErr w:type="spellEnd"/>
      <w:r w:rsidR="00111FA7">
        <w:t xml:space="preserve"> </w:t>
      </w:r>
      <w:proofErr w:type="spellStart"/>
      <w:r w:rsidR="00111FA7">
        <w:t>M</w:t>
      </w:r>
      <w:r>
        <w:t>u</w:t>
      </w:r>
      <w:r w:rsidR="00111FA7">
        <w:t>yumba</w:t>
      </w:r>
      <w:proofErr w:type="spellEnd"/>
      <w:r w:rsidR="00111FA7">
        <w:t xml:space="preserve"> </w:t>
      </w:r>
      <w:r w:rsidR="00F239DE">
        <w:t xml:space="preserve"> (Assigned beginning at 10/26/2016 meeting)</w:t>
      </w:r>
      <w:r w:rsidR="002258C4">
        <w:t xml:space="preserve"> </w:t>
      </w:r>
    </w:p>
    <w:p w:rsidR="00D56FEE" w:rsidRDefault="00D56FEE" w:rsidP="007B1491">
      <w:pPr>
        <w:rPr>
          <w:b/>
        </w:rPr>
        <w:sectPr w:rsidR="00D56FEE" w:rsidSect="007B149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111FA7" w:rsidRPr="00D92E3D" w:rsidRDefault="007B1491" w:rsidP="007B1491">
      <w:pPr>
        <w:rPr>
          <w:b/>
        </w:rPr>
      </w:pPr>
      <w:r w:rsidRPr="00D92E3D">
        <w:rPr>
          <w:b/>
        </w:rPr>
        <w:t>Charges/Actions</w:t>
      </w:r>
    </w:p>
    <w:tbl>
      <w:tblPr>
        <w:tblW w:w="13065" w:type="dxa"/>
        <w:tblInd w:w="93" w:type="dxa"/>
        <w:tblLook w:val="04A0" w:firstRow="1" w:lastRow="0" w:firstColumn="1" w:lastColumn="0" w:noHBand="0" w:noVBand="1"/>
      </w:tblPr>
      <w:tblGrid>
        <w:gridCol w:w="965"/>
        <w:gridCol w:w="5620"/>
        <w:gridCol w:w="6480"/>
      </w:tblGrid>
      <w:tr w:rsidR="00D92E3D" w:rsidRPr="00D92E3D" w:rsidTr="00D92E3D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b/>
                <w:bCs/>
                <w:color w:val="000000"/>
              </w:rPr>
              <w:t>Number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b/>
                <w:bCs/>
                <w:color w:val="000000"/>
              </w:rPr>
              <w:t>Charge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b/>
                <w:bCs/>
                <w:color w:val="000000"/>
              </w:rPr>
              <w:t>Actions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Select nominees for service on awards committees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Approve Committee Pools (9/14/2016)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Maintain Grievance Committee Pool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Oversee Constitutional Votes and Senate Elections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Ongoing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Select nominee for service on PTOC (per 305.10.3)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 xml:space="preserve">Barbara </w:t>
            </w:r>
            <w:proofErr w:type="spellStart"/>
            <w:r w:rsidRPr="00D92E3D">
              <w:rPr>
                <w:rFonts w:ascii="Calibri" w:eastAsia="Times New Roman" w:hAnsi="Calibri" w:cs="Times New Roman"/>
                <w:color w:val="000000"/>
              </w:rPr>
              <w:t>Eversole</w:t>
            </w:r>
            <w:proofErr w:type="spellEnd"/>
            <w:r w:rsidRPr="00D92E3D">
              <w:rPr>
                <w:rFonts w:ascii="Calibri" w:eastAsia="Times New Roman" w:hAnsi="Calibri" w:cs="Times New Roman"/>
                <w:color w:val="000000"/>
              </w:rPr>
              <w:t xml:space="preserve"> selected (9/14/2016); Shawn Phillips selected (3/22/2017)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Consider revision of attendance policy to allow for electronic video attendance at Senate Meetings (245.3.3.4)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Approve Revision to 245.3.3.4 Attendance Policy (9/28/2016)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Discuss need for formal "notice of error" process for faculty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Approve Creation of 350.2.9.1.3.3.1 (9/28/3016)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Review Policy Prohibiting Sexual Misconduct, Intimate Partner Violence, and Stalking (section 922)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No action taken; Summary of information provided to Senate Executive Committee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Review Whistleblower procedures (section 905)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No action taken; Summary of information provided to Senate Executive Committee</w:t>
            </w:r>
          </w:p>
        </w:tc>
      </w:tr>
      <w:tr w:rsidR="00D92E3D" w:rsidRPr="00D92E3D" w:rsidTr="00D92E3D">
        <w:trPr>
          <w:trHeight w:val="6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Synchronize working day/opening day/closing day in 323.10 and 246.14.4.1.1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Approve Revision to 323.10 and 246.14.4.1.1 Definition of Working Day (10/26/2016 and 11/21/2016)</w:t>
            </w:r>
          </w:p>
        </w:tc>
      </w:tr>
      <w:tr w:rsidR="00D92E3D" w:rsidRPr="00D92E3D" w:rsidTr="00D92E3D">
        <w:trPr>
          <w:trHeight w:val="6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Review and consider revisions to the senate nomination/election process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Recommendations for Faculty Senate and Faculty Senate Executive Committee Nominations and Elections (11/30/2016)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Clarify new travel policy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Resolved within Senate Executive Committee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Work with SAC to conduct a review of University-wide student evaluations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Recommendations on University-wide Student Evaluations (11/30/2016)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10a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Investigate and report on the meaning of "community service"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Recommendations regarding engagement (11/30/2016)</w:t>
            </w:r>
          </w:p>
        </w:tc>
      </w:tr>
      <w:tr w:rsidR="00D92E3D" w:rsidRPr="00D92E3D" w:rsidTr="00D92E3D">
        <w:trPr>
          <w:trHeight w:val="6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10c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Construct an acceptable definition of community engagement and experiential learning for insertion in section 210 of the handbook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approve the addition of sections 210.2.1, 210.2.2, 210.2.3 in the University Handbook. (3/8/2017)</w:t>
            </w:r>
          </w:p>
        </w:tc>
      </w:tr>
      <w:tr w:rsidR="00D92E3D" w:rsidRPr="00D92E3D" w:rsidTr="00D92E3D">
        <w:trPr>
          <w:trHeight w:val="6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10b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Create a glossary of terms (particularly as they relate to community service, community engagement, service learning, experiential learning)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 xml:space="preserve">No outcome; committee felt glossary was unnecessary </w:t>
            </w:r>
          </w:p>
        </w:tc>
      </w:tr>
    </w:tbl>
    <w:p w:rsidR="00D92E3D" w:rsidRDefault="00D92E3D">
      <w:r>
        <w:br w:type="page"/>
      </w:r>
    </w:p>
    <w:tbl>
      <w:tblPr>
        <w:tblW w:w="13065" w:type="dxa"/>
        <w:tblInd w:w="93" w:type="dxa"/>
        <w:tblLook w:val="04A0" w:firstRow="1" w:lastRow="0" w:firstColumn="1" w:lastColumn="0" w:noHBand="0" w:noVBand="1"/>
      </w:tblPr>
      <w:tblGrid>
        <w:gridCol w:w="965"/>
        <w:gridCol w:w="5620"/>
        <w:gridCol w:w="6480"/>
      </w:tblGrid>
      <w:tr w:rsidR="00D92E3D" w:rsidRPr="00D92E3D" w:rsidTr="007E529A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7E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Number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7E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b/>
                <w:bCs/>
                <w:color w:val="000000"/>
              </w:rPr>
              <w:t>Charge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7E5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b/>
                <w:bCs/>
                <w:color w:val="000000"/>
              </w:rPr>
              <w:t>Actions</w:t>
            </w:r>
          </w:p>
        </w:tc>
      </w:tr>
      <w:tr w:rsidR="00D92E3D" w:rsidRPr="00D92E3D" w:rsidTr="00D92E3D">
        <w:trPr>
          <w:trHeight w:val="6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5a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Work with AAC, FEBC, and Linda Fergusson in Institutional Research to set up a mechanism for annual reports to be generated by them regarding faculty retention and other desired data</w:t>
            </w:r>
          </w:p>
        </w:tc>
        <w:tc>
          <w:tcPr>
            <w:tcW w:w="6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approve the recommended reports to be distributed and analyzed by AAC, FEBC, and FAC, annually. (2/8/2017); Analysis of reports incomplete due to Vice Chair absence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5b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 xml:space="preserve">Review annual data regarding faculty retention </w:t>
            </w:r>
          </w:p>
        </w:tc>
        <w:tc>
          <w:tcPr>
            <w:tcW w:w="6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92E3D" w:rsidRPr="00D92E3D" w:rsidTr="00D92E3D">
        <w:trPr>
          <w:trHeight w:val="9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Clarify language related to recent Exec/Provost interpretations of handbook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Recommendation to formalize the process for announcing and documenting Faculty Senate Executive Officers and Provost's University Handbook interpretations (2/8/2017)</w:t>
            </w:r>
          </w:p>
        </w:tc>
      </w:tr>
      <w:tr w:rsidR="00D92E3D" w:rsidRPr="00D92E3D" w:rsidTr="00D92E3D">
        <w:trPr>
          <w:trHeight w:val="6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Clarify the deciding persons when determining prior service credit 305.3.2.1.1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approve changes to 305.3.2.1.1 subsections regarding prior service credit. (2/8/2017)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Clarify 305 language of contract vs. appointment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clarify terminology related to appointments within section 305. (2/8/2017)</w:t>
            </w:r>
          </w:p>
        </w:tc>
      </w:tr>
      <w:tr w:rsidR="00D92E3D" w:rsidRPr="00D92E3D" w:rsidTr="00D92E3D">
        <w:trPr>
          <w:trHeight w:val="6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Revision to tenure and promotion guidelines to include achieving promotion via teaching and community engagement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approve changes to section 305 of the University Handbook. (3/8/2017)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Develop language that clarified first instructor appointment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tabled, as additional language would have been redundant. (2/8/2017)</w:t>
            </w:r>
          </w:p>
        </w:tc>
      </w:tr>
      <w:tr w:rsidR="00D92E3D" w:rsidRPr="00D92E3D" w:rsidTr="00D92E3D">
        <w:trPr>
          <w:trHeight w:val="6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Early tenure rule loophole - positive recommendation (305.7.6.1)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revise section 305.7.6.1 and its subsections – Exceptions to General 6-Year Rule. (3/22/2017)</w:t>
            </w:r>
          </w:p>
        </w:tc>
      </w:tr>
      <w:tr w:rsidR="00CF3D1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3D1D" w:rsidRPr="00D92E3D" w:rsidRDefault="00D56FEE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D1D" w:rsidRPr="00D92E3D" w:rsidRDefault="00CF3D1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D1D">
              <w:rPr>
                <w:rFonts w:ascii="Calibri" w:eastAsia="Times New Roman" w:hAnsi="Calibri" w:cs="Times New Roman"/>
                <w:color w:val="000000"/>
              </w:rPr>
              <w:t>Delegation of authority regarding financial, personnel, grants &amp; contracts, and internship items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3D1D" w:rsidRPr="00D92E3D" w:rsidRDefault="0052032C" w:rsidP="0052032C">
            <w:pPr>
              <w:pStyle w:val="Header"/>
              <w:rPr>
                <w:rFonts w:ascii="Calibri" w:eastAsia="Times New Roman" w:hAnsi="Calibri" w:cs="Times New Roman"/>
                <w:color w:val="000000"/>
              </w:rPr>
            </w:pPr>
            <w:r w:rsidRPr="0052032C">
              <w:t>Motion to approve changes throughout the University Handbook regarding authority of the Board of Trustees</w:t>
            </w:r>
            <w:r>
              <w:t xml:space="preserve"> </w:t>
            </w:r>
            <w:r w:rsidR="00CF3D1D" w:rsidRPr="00CF3D1D">
              <w:rPr>
                <w:rFonts w:ascii="Calibri" w:eastAsia="Times New Roman" w:hAnsi="Calibri" w:cs="Times New Roman"/>
                <w:color w:val="000000"/>
              </w:rPr>
              <w:t>(4/19/2017)</w:t>
            </w:r>
          </w:p>
        </w:tc>
      </w:tr>
      <w:tr w:rsidR="00D92E3D" w:rsidRPr="00D92E3D" w:rsidTr="00D92E3D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Produce and submit a report in time for the final senate meeting 2016-2017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3D" w:rsidRPr="00D92E3D" w:rsidRDefault="00D92E3D" w:rsidP="00D9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E3D">
              <w:rPr>
                <w:rFonts w:ascii="Calibri" w:eastAsia="Times New Roman" w:hAnsi="Calibri" w:cs="Times New Roman"/>
                <w:color w:val="000000"/>
              </w:rPr>
              <w:t>Motion to approve annual report (4/19/2017)</w:t>
            </w:r>
          </w:p>
        </w:tc>
      </w:tr>
    </w:tbl>
    <w:p w:rsidR="00D92E3D" w:rsidRDefault="00D92E3D" w:rsidP="007B1491"/>
    <w:sectPr w:rsidR="00D92E3D" w:rsidSect="00D56FEE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07C" w:rsidRDefault="00EE307C" w:rsidP="00B87BA2">
      <w:pPr>
        <w:spacing w:after="0" w:line="240" w:lineRule="auto"/>
      </w:pPr>
      <w:r>
        <w:separator/>
      </w:r>
    </w:p>
  </w:endnote>
  <w:endnote w:type="continuationSeparator" w:id="0">
    <w:p w:rsidR="00EE307C" w:rsidRDefault="00EE307C" w:rsidP="00B8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10" w:rsidRDefault="00D53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10" w:rsidRDefault="00D531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10" w:rsidRDefault="00D5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07C" w:rsidRDefault="00EE307C" w:rsidP="00B87BA2">
      <w:pPr>
        <w:spacing w:after="0" w:line="240" w:lineRule="auto"/>
      </w:pPr>
      <w:r>
        <w:separator/>
      </w:r>
    </w:p>
  </w:footnote>
  <w:footnote w:type="continuationSeparator" w:id="0">
    <w:p w:rsidR="00EE307C" w:rsidRDefault="00EE307C" w:rsidP="00B87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10" w:rsidRDefault="00D53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BA2" w:rsidRDefault="00B87BA2">
    <w:pPr>
      <w:pStyle w:val="Header"/>
    </w:pPr>
    <w:r>
      <w:t xml:space="preserve">Motion to approve the University Faculty Affairs Committee Annual Report. </w:t>
    </w:r>
  </w:p>
  <w:p w:rsidR="005F4BEA" w:rsidRDefault="005F4BEA" w:rsidP="005F4BEA">
    <w:pPr>
      <w:pStyle w:val="Header"/>
      <w:jc w:val="right"/>
    </w:pPr>
    <w:r>
      <w:t>(Eberman/</w:t>
    </w:r>
    <w:r w:rsidR="00D53110">
      <w:t>Phillips, 5-0-0)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110" w:rsidRDefault="00D53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D7773"/>
    <w:multiLevelType w:val="hybridMultilevel"/>
    <w:tmpl w:val="AE10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B7000"/>
    <w:multiLevelType w:val="hybridMultilevel"/>
    <w:tmpl w:val="F1CC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B165C"/>
    <w:multiLevelType w:val="hybridMultilevel"/>
    <w:tmpl w:val="03B8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3365C"/>
    <w:multiLevelType w:val="hybridMultilevel"/>
    <w:tmpl w:val="454C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A7"/>
    <w:rsid w:val="00002C93"/>
    <w:rsid w:val="00111FA7"/>
    <w:rsid w:val="002258C4"/>
    <w:rsid w:val="0052032C"/>
    <w:rsid w:val="005F4BEA"/>
    <w:rsid w:val="00685F29"/>
    <w:rsid w:val="007A44FA"/>
    <w:rsid w:val="007B1491"/>
    <w:rsid w:val="007B4070"/>
    <w:rsid w:val="008B40A9"/>
    <w:rsid w:val="00B87BA2"/>
    <w:rsid w:val="00CF3D1D"/>
    <w:rsid w:val="00D53110"/>
    <w:rsid w:val="00D56FEE"/>
    <w:rsid w:val="00D7248F"/>
    <w:rsid w:val="00D92E3D"/>
    <w:rsid w:val="00D948D3"/>
    <w:rsid w:val="00DC1D38"/>
    <w:rsid w:val="00EE307C"/>
    <w:rsid w:val="00F239DE"/>
    <w:rsid w:val="00F8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DA72D6-5FFB-46CF-AFC6-DF9FD529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A2"/>
  </w:style>
  <w:style w:type="paragraph" w:styleId="Footer">
    <w:name w:val="footer"/>
    <w:basedOn w:val="Normal"/>
    <w:link w:val="FooterChar"/>
    <w:uiPriority w:val="99"/>
    <w:unhideWhenUsed/>
    <w:rsid w:val="00B87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Eberman</dc:creator>
  <cp:lastModifiedBy>Morgan Brown</cp:lastModifiedBy>
  <cp:revision>2</cp:revision>
  <dcterms:created xsi:type="dcterms:W3CDTF">2017-08-29T15:52:00Z</dcterms:created>
  <dcterms:modified xsi:type="dcterms:W3CDTF">2017-08-29T15:52:00Z</dcterms:modified>
</cp:coreProperties>
</file>